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E03C" w14:textId="6E7AC79B" w:rsidR="00D15E54" w:rsidRPr="00202AEC" w:rsidRDefault="00E76B1F" w:rsidP="00DF24FC">
      <w:pPr>
        <w:snapToGrid w:val="0"/>
        <w:spacing w:line="360" w:lineRule="auto"/>
        <w:ind w:firstLine="284"/>
        <w:contextualSpacing/>
        <w:jc w:val="center"/>
        <w:rPr>
          <w:b/>
          <w:bCs/>
        </w:rPr>
      </w:pPr>
      <w:r w:rsidRPr="00202AEC">
        <w:rPr>
          <w:rFonts w:eastAsiaTheme="minorHAnsi"/>
          <w:b/>
          <w:bCs/>
          <w:color w:val="000000"/>
          <w:lang w:val="fr-FR" w:eastAsia="en-US"/>
        </w:rPr>
        <w:t>Entre perception et production</w:t>
      </w:r>
      <w:r w:rsidR="009A7283">
        <w:rPr>
          <w:rFonts w:eastAsiaTheme="minorHAnsi"/>
          <w:b/>
          <w:bCs/>
          <w:color w:val="000000"/>
          <w:lang w:val="fr-FR" w:eastAsia="en-US"/>
        </w:rPr>
        <w:t> :</w:t>
      </w:r>
      <w:r w:rsidRPr="00202AEC">
        <w:rPr>
          <w:rFonts w:eastAsiaTheme="minorHAnsi"/>
          <w:b/>
          <w:bCs/>
          <w:color w:val="000000"/>
          <w:lang w:val="fr-FR" w:eastAsia="en-US"/>
        </w:rPr>
        <w:t xml:space="preserve"> la compliance phonique comme révélateur des aptitudes phonétiques en langue étrangère</w:t>
      </w:r>
    </w:p>
    <w:p w14:paraId="78A818CE" w14:textId="77777777" w:rsidR="003A453A" w:rsidRDefault="003A453A" w:rsidP="003A453A">
      <w:pPr>
        <w:spacing w:line="288" w:lineRule="auto"/>
        <w:jc w:val="center"/>
        <w:rPr>
          <w:sz w:val="22"/>
          <w:szCs w:val="22"/>
        </w:rPr>
      </w:pPr>
    </w:p>
    <w:p w14:paraId="422FC7A9" w14:textId="1BA088AD" w:rsidR="003A453A" w:rsidRPr="00202AEC" w:rsidRDefault="003A453A" w:rsidP="003A453A">
      <w:pPr>
        <w:spacing w:line="288" w:lineRule="auto"/>
        <w:jc w:val="center"/>
        <w:rPr>
          <w:sz w:val="22"/>
          <w:szCs w:val="22"/>
        </w:rPr>
      </w:pPr>
      <w:r w:rsidRPr="00202AEC">
        <w:rPr>
          <w:sz w:val="22"/>
          <w:szCs w:val="22"/>
        </w:rPr>
        <w:t>Marina Gioiella, Bernard Harmegnies, Kathy Huet, Myriam Piccaluga et Véronique Delvaux</w:t>
      </w:r>
    </w:p>
    <w:p w14:paraId="759B4791" w14:textId="77777777" w:rsidR="003A453A" w:rsidRPr="00202AEC" w:rsidRDefault="003A453A" w:rsidP="003A453A">
      <w:pPr>
        <w:spacing w:line="288" w:lineRule="auto"/>
        <w:jc w:val="both"/>
      </w:pPr>
    </w:p>
    <w:p w14:paraId="0F1C7045" w14:textId="77777777" w:rsidR="003A453A" w:rsidRDefault="003A453A" w:rsidP="003A453A">
      <w:pPr>
        <w:snapToGrid w:val="0"/>
        <w:spacing w:before="100" w:beforeAutospacing="1" w:after="100" w:afterAutospacing="1"/>
        <w:contextualSpacing/>
        <w:jc w:val="both"/>
        <w:rPr>
          <w:rStyle w:val="lev"/>
          <w:b w:val="0"/>
          <w:bCs w:val="0"/>
        </w:rPr>
      </w:pPr>
      <w:r w:rsidRPr="00202AEC">
        <w:rPr>
          <w:rStyle w:val="lev"/>
          <w:b w:val="0"/>
          <w:bCs w:val="0"/>
        </w:rPr>
        <w:t>GIOIELLA Marina</w:t>
      </w:r>
    </w:p>
    <w:p w14:paraId="61156D26" w14:textId="510BAD5B" w:rsidR="003A453A" w:rsidRPr="00202AEC" w:rsidRDefault="003A453A" w:rsidP="003A453A">
      <w:pPr>
        <w:snapToGrid w:val="0"/>
        <w:spacing w:before="100" w:beforeAutospacing="1" w:after="100" w:afterAutospacing="1"/>
        <w:contextualSpacing/>
        <w:jc w:val="both"/>
      </w:pPr>
      <w:r w:rsidRPr="00202AEC">
        <w:rPr>
          <w:rStyle w:val="relative"/>
        </w:rPr>
        <w:t>Institut de Recherche en Sciences et Technologies du Langage (</w:t>
      </w:r>
      <w:r>
        <w:rPr>
          <w:rStyle w:val="relative"/>
        </w:rPr>
        <w:t>Institut Langage</w:t>
      </w:r>
      <w:r w:rsidRPr="00202AEC">
        <w:rPr>
          <w:rStyle w:val="relative"/>
        </w:rPr>
        <w:t>), Service d’Études françaises et francophones (FTI-EII), Université de Mons (UMONS)</w:t>
      </w:r>
      <w:r w:rsidRPr="00202AEC">
        <w:br/>
      </w:r>
      <w:r w:rsidRPr="00202AEC">
        <w:rPr>
          <w:rStyle w:val="relative"/>
        </w:rPr>
        <w:t>Marina Gioiella est maître de langues et chercheuse en didactique des langues à l’UMONS. Ses travaux portent sur l’acquisition phonétique en langue étrangère et la correction phonétique.</w:t>
      </w:r>
      <w:r w:rsidRPr="00202AEC">
        <w:br/>
      </w:r>
      <w:r w:rsidRPr="00202AEC">
        <w:rPr>
          <w:rStyle w:val="relative"/>
        </w:rPr>
        <w:t>marina.gioiella@umons.ac.be</w:t>
      </w:r>
      <w:r w:rsidRPr="00202AEC">
        <w:t xml:space="preserve">​ </w:t>
      </w:r>
    </w:p>
    <w:p w14:paraId="0E09452A" w14:textId="77777777" w:rsidR="003A453A" w:rsidRPr="00202AEC" w:rsidRDefault="003A453A" w:rsidP="003A453A">
      <w:pPr>
        <w:snapToGrid w:val="0"/>
        <w:spacing w:before="100" w:beforeAutospacing="1" w:after="100" w:afterAutospacing="1"/>
        <w:contextualSpacing/>
      </w:pPr>
    </w:p>
    <w:p w14:paraId="4514003C" w14:textId="77777777" w:rsidR="003A453A" w:rsidRDefault="003A453A" w:rsidP="003A453A">
      <w:pPr>
        <w:snapToGrid w:val="0"/>
        <w:spacing w:before="100" w:beforeAutospacing="1" w:after="100" w:afterAutospacing="1"/>
        <w:contextualSpacing/>
        <w:jc w:val="both"/>
        <w:rPr>
          <w:rStyle w:val="lev"/>
          <w:b w:val="0"/>
          <w:bCs w:val="0"/>
        </w:rPr>
      </w:pPr>
      <w:r w:rsidRPr="00202AEC">
        <w:rPr>
          <w:rStyle w:val="lev"/>
          <w:b w:val="0"/>
          <w:bCs w:val="0"/>
        </w:rPr>
        <w:t>HARMEGNIES Bernard</w:t>
      </w:r>
    </w:p>
    <w:p w14:paraId="1B47C4E0" w14:textId="2B59D7CA" w:rsidR="003A453A" w:rsidRDefault="003A453A" w:rsidP="003A453A">
      <w:pPr>
        <w:snapToGrid w:val="0"/>
        <w:spacing w:before="100" w:beforeAutospacing="1" w:after="100" w:afterAutospacing="1"/>
        <w:contextualSpacing/>
        <w:jc w:val="both"/>
        <w:rPr>
          <w:rStyle w:val="relative"/>
        </w:rPr>
      </w:pPr>
      <w:r w:rsidRPr="00202AEC">
        <w:rPr>
          <w:rStyle w:val="relative"/>
        </w:rPr>
        <w:t>Institut de Recherche en Sciences et Technologies du Langage (</w:t>
      </w:r>
      <w:r>
        <w:rPr>
          <w:rStyle w:val="relative"/>
        </w:rPr>
        <w:t>Institut Langage</w:t>
      </w:r>
      <w:r w:rsidRPr="00202AEC">
        <w:rPr>
          <w:rStyle w:val="relative"/>
        </w:rPr>
        <w:t>), Université de Mons (UMONS)</w:t>
      </w:r>
    </w:p>
    <w:p w14:paraId="14AF277D" w14:textId="2B588A89" w:rsidR="003A453A" w:rsidRPr="00202AEC" w:rsidRDefault="003A453A" w:rsidP="003A453A">
      <w:pPr>
        <w:snapToGrid w:val="0"/>
        <w:spacing w:before="100" w:beforeAutospacing="1" w:after="100" w:afterAutospacing="1"/>
        <w:contextualSpacing/>
        <w:jc w:val="both"/>
        <w:rPr>
          <w:rStyle w:val="relative"/>
        </w:rPr>
      </w:pPr>
      <w:r w:rsidRPr="00202AEC">
        <w:rPr>
          <w:rStyle w:val="relative"/>
        </w:rPr>
        <w:t xml:space="preserve">Bernard Harmegnies est professeur émérite en sciences du langage à l’UMONS. Ses recherches se concentrent sur les différents aspects des sciences du langage et de la parole, en particulier la phonétique du contact des langues, la phonétique clinique, et les dispositifs de mesures acoustiques et statistiques associés. </w:t>
      </w:r>
    </w:p>
    <w:p w14:paraId="1E8AA7FA" w14:textId="77777777" w:rsidR="003A453A" w:rsidRPr="00202AEC" w:rsidRDefault="003A453A" w:rsidP="003A453A">
      <w:pPr>
        <w:snapToGrid w:val="0"/>
        <w:spacing w:before="100" w:beforeAutospacing="1" w:after="100" w:afterAutospacing="1"/>
        <w:contextualSpacing/>
        <w:rPr>
          <w:rStyle w:val="relative"/>
        </w:rPr>
      </w:pPr>
      <w:r w:rsidRPr="00202AEC">
        <w:rPr>
          <w:rStyle w:val="relative"/>
        </w:rPr>
        <w:t>bernard.harmegnies@umons.ac.be</w:t>
      </w:r>
    </w:p>
    <w:p w14:paraId="485AD2D3" w14:textId="77777777" w:rsidR="003A453A" w:rsidRPr="00202AEC" w:rsidRDefault="003A453A" w:rsidP="003A453A">
      <w:pPr>
        <w:snapToGrid w:val="0"/>
        <w:spacing w:before="100" w:beforeAutospacing="1" w:after="100" w:afterAutospacing="1"/>
        <w:contextualSpacing/>
        <w:rPr>
          <w:rStyle w:val="relative"/>
        </w:rPr>
      </w:pPr>
    </w:p>
    <w:p w14:paraId="21BC06A3" w14:textId="77777777" w:rsidR="003A453A" w:rsidRDefault="003A453A" w:rsidP="003A453A">
      <w:pPr>
        <w:snapToGrid w:val="0"/>
        <w:spacing w:before="100" w:beforeAutospacing="1" w:after="100" w:afterAutospacing="1"/>
        <w:contextualSpacing/>
        <w:jc w:val="both"/>
        <w:rPr>
          <w:rStyle w:val="lev"/>
          <w:b w:val="0"/>
          <w:bCs w:val="0"/>
        </w:rPr>
      </w:pPr>
      <w:r w:rsidRPr="00202AEC">
        <w:rPr>
          <w:rStyle w:val="lev"/>
          <w:b w:val="0"/>
          <w:bCs w:val="0"/>
        </w:rPr>
        <w:t>HUET Kathy</w:t>
      </w:r>
    </w:p>
    <w:p w14:paraId="5F56BA8C" w14:textId="45576A30" w:rsidR="003A453A" w:rsidRPr="00202AEC" w:rsidRDefault="003A453A" w:rsidP="003A453A">
      <w:pPr>
        <w:snapToGrid w:val="0"/>
        <w:spacing w:before="100" w:beforeAutospacing="1" w:after="100" w:afterAutospacing="1"/>
        <w:contextualSpacing/>
        <w:jc w:val="both"/>
        <w:rPr>
          <w:color w:val="000000" w:themeColor="text1"/>
        </w:rPr>
      </w:pPr>
      <w:r w:rsidRPr="00202AEC">
        <w:rPr>
          <w:rStyle w:val="relative"/>
        </w:rPr>
        <w:t>Institut de Recherche en Sciences et Technologies du Langage (</w:t>
      </w:r>
      <w:r>
        <w:rPr>
          <w:rStyle w:val="relative"/>
        </w:rPr>
        <w:t>Institut Langage</w:t>
      </w:r>
      <w:r w:rsidRPr="00202AEC">
        <w:rPr>
          <w:rStyle w:val="relative"/>
        </w:rPr>
        <w:t>), Service de Métrologie et Sciences du Langage (FPSE), Université de Mons (UMONS)</w:t>
      </w:r>
    </w:p>
    <w:p w14:paraId="1D3F7B28" w14:textId="77777777" w:rsidR="003A453A" w:rsidRPr="00202AEC" w:rsidRDefault="003A453A" w:rsidP="003A453A">
      <w:pPr>
        <w:snapToGrid w:val="0"/>
        <w:contextualSpacing/>
        <w:jc w:val="both"/>
      </w:pPr>
      <w:r w:rsidRPr="00202AEC">
        <w:rPr>
          <w:color w:val="000000"/>
          <w:lang w:val="fr-FR"/>
        </w:rPr>
        <w:t>Kathy Huet</w:t>
      </w:r>
      <w:r w:rsidRPr="00202AEC">
        <w:rPr>
          <w:color w:val="000000"/>
        </w:rPr>
        <w:t> est </w:t>
      </w:r>
      <w:r w:rsidRPr="00202AEC">
        <w:rPr>
          <w:color w:val="000000"/>
          <w:lang w:val="fr-FR"/>
        </w:rPr>
        <w:t>professeure en sciences de la parole et sciences de la mesure</w:t>
      </w:r>
      <w:r w:rsidRPr="00202AEC">
        <w:rPr>
          <w:color w:val="000000"/>
        </w:rPr>
        <w:t> à l’UMONS. Ses recherches </w:t>
      </w:r>
      <w:r w:rsidRPr="00202AEC">
        <w:rPr>
          <w:color w:val="000000"/>
          <w:lang w:val="fr-FR"/>
        </w:rPr>
        <w:t>portent sur le développement de dispositifs d’évaluation en sciences du langage, en psychologie et en sciences de l’éducation, avec un intérêt particulier pour la caractérisation de la qualité vocale et les systèmes vocaliques.</w:t>
      </w:r>
    </w:p>
    <w:p w14:paraId="27646F65" w14:textId="77777777" w:rsidR="003A453A" w:rsidRPr="00202AEC" w:rsidRDefault="003A453A" w:rsidP="003A453A">
      <w:pPr>
        <w:snapToGrid w:val="0"/>
        <w:spacing w:before="100" w:beforeAutospacing="1" w:after="100" w:afterAutospacing="1"/>
        <w:contextualSpacing/>
        <w:rPr>
          <w:color w:val="000000" w:themeColor="text1"/>
        </w:rPr>
      </w:pPr>
      <w:hyperlink r:id="rId8" w:history="1">
        <w:r w:rsidRPr="00202AEC">
          <w:rPr>
            <w:rStyle w:val="Lienhypertexte"/>
            <w:color w:val="000000" w:themeColor="text1"/>
            <w:u w:val="none"/>
          </w:rPr>
          <w:t>kathy.huet@umons.ac.be</w:t>
        </w:r>
      </w:hyperlink>
      <w:r w:rsidRPr="00202AEC">
        <w:rPr>
          <w:color w:val="000000" w:themeColor="text1"/>
        </w:rPr>
        <w:t>​</w:t>
      </w:r>
    </w:p>
    <w:p w14:paraId="53124291" w14:textId="77777777" w:rsidR="003A453A" w:rsidRPr="00202AEC" w:rsidRDefault="003A453A" w:rsidP="003A453A">
      <w:pPr>
        <w:snapToGrid w:val="0"/>
        <w:spacing w:before="100" w:beforeAutospacing="1" w:after="100" w:afterAutospacing="1"/>
        <w:contextualSpacing/>
        <w:rPr>
          <w:rStyle w:val="lev"/>
          <w:b w:val="0"/>
          <w:bCs w:val="0"/>
        </w:rPr>
      </w:pPr>
    </w:p>
    <w:p w14:paraId="0AB6E8CE" w14:textId="77777777" w:rsidR="003A453A" w:rsidRDefault="003A453A" w:rsidP="003A453A">
      <w:pPr>
        <w:jc w:val="both"/>
        <w:rPr>
          <w:rStyle w:val="lev"/>
          <w:b w:val="0"/>
          <w:bCs w:val="0"/>
        </w:rPr>
      </w:pPr>
      <w:r w:rsidRPr="00202AEC">
        <w:rPr>
          <w:rStyle w:val="lev"/>
          <w:b w:val="0"/>
          <w:bCs w:val="0"/>
        </w:rPr>
        <w:t>PICCALUGA Myriam</w:t>
      </w:r>
    </w:p>
    <w:p w14:paraId="353F0DD4" w14:textId="77777777" w:rsidR="003A453A" w:rsidRDefault="003A453A" w:rsidP="003A453A">
      <w:pPr>
        <w:jc w:val="both"/>
        <w:rPr>
          <w:rStyle w:val="relative"/>
        </w:rPr>
      </w:pPr>
      <w:r w:rsidRPr="00202AEC">
        <w:rPr>
          <w:rStyle w:val="relative"/>
        </w:rPr>
        <w:t>Institut de Recherche en Sciences et Technologies du Langage (</w:t>
      </w:r>
      <w:r>
        <w:rPr>
          <w:rStyle w:val="relative"/>
        </w:rPr>
        <w:t>Institut Langage</w:t>
      </w:r>
      <w:r w:rsidRPr="00202AEC">
        <w:rPr>
          <w:rStyle w:val="relative"/>
        </w:rPr>
        <w:t>), Service de Métrologie et Sciences du Langage (FPSE), Université de Mons (UMONS)</w:t>
      </w:r>
    </w:p>
    <w:p w14:paraId="7E909C73" w14:textId="4F02529C" w:rsidR="003A453A" w:rsidRPr="00202AEC" w:rsidRDefault="003A453A" w:rsidP="003A453A">
      <w:pPr>
        <w:jc w:val="both"/>
      </w:pPr>
      <w:r>
        <w:rPr>
          <w:color w:val="000000"/>
        </w:rPr>
        <w:t xml:space="preserve">Myriam Piccaluga </w:t>
      </w:r>
      <w:r w:rsidRPr="00202AEC">
        <w:rPr>
          <w:color w:val="000000"/>
        </w:rPr>
        <w:t>est </w:t>
      </w:r>
      <w:r w:rsidRPr="00202AEC">
        <w:rPr>
          <w:color w:val="000000"/>
          <w:lang w:val="fr-FR"/>
        </w:rPr>
        <w:t>professeure en psycholinguistique, bilinguisme et acquisition du langage</w:t>
      </w:r>
      <w:r w:rsidRPr="00202AEC">
        <w:rPr>
          <w:color w:val="000000"/>
        </w:rPr>
        <w:t> à l’UMONS. Ses recherches </w:t>
      </w:r>
      <w:r w:rsidRPr="00202AEC">
        <w:rPr>
          <w:color w:val="000000"/>
          <w:lang w:val="fr-FR"/>
        </w:rPr>
        <w:t>portent sur l’acquisition du langage et de la parole chez l’enfant, sur les effets du bilinguisme sur le langage et la parole, ainsi que sur la phonétique du contact entre les langues.</w:t>
      </w:r>
    </w:p>
    <w:p w14:paraId="0CCED793" w14:textId="77777777" w:rsidR="003A453A" w:rsidRPr="00202AEC" w:rsidRDefault="003A453A" w:rsidP="003A453A">
      <w:pPr>
        <w:snapToGrid w:val="0"/>
        <w:spacing w:before="100" w:beforeAutospacing="1" w:after="100" w:afterAutospacing="1"/>
        <w:contextualSpacing/>
        <w:rPr>
          <w:color w:val="000000" w:themeColor="text1"/>
        </w:rPr>
      </w:pPr>
      <w:hyperlink r:id="rId9" w:history="1">
        <w:r w:rsidRPr="00202AEC">
          <w:rPr>
            <w:rStyle w:val="Lienhypertexte"/>
            <w:color w:val="000000" w:themeColor="text1"/>
            <w:u w:val="none"/>
          </w:rPr>
          <w:t>myriam.piccaluga@umons.ac.be</w:t>
        </w:r>
      </w:hyperlink>
      <w:r w:rsidRPr="00202AEC">
        <w:rPr>
          <w:color w:val="000000" w:themeColor="text1"/>
        </w:rPr>
        <w:t>​</w:t>
      </w:r>
    </w:p>
    <w:p w14:paraId="7630D62D" w14:textId="77777777" w:rsidR="003A453A" w:rsidRPr="00202AEC" w:rsidRDefault="003A453A" w:rsidP="003A453A">
      <w:pPr>
        <w:snapToGrid w:val="0"/>
        <w:spacing w:before="100" w:beforeAutospacing="1" w:after="100" w:afterAutospacing="1"/>
        <w:contextualSpacing/>
      </w:pPr>
    </w:p>
    <w:p w14:paraId="45AC427A" w14:textId="77777777" w:rsidR="003A453A" w:rsidRDefault="003A453A" w:rsidP="003A453A">
      <w:pPr>
        <w:snapToGrid w:val="0"/>
        <w:spacing w:before="100" w:beforeAutospacing="1" w:after="100" w:afterAutospacing="1"/>
        <w:contextualSpacing/>
        <w:jc w:val="both"/>
        <w:rPr>
          <w:rStyle w:val="lev"/>
          <w:b w:val="0"/>
          <w:bCs w:val="0"/>
        </w:rPr>
      </w:pPr>
      <w:r w:rsidRPr="00202AEC">
        <w:rPr>
          <w:rStyle w:val="lev"/>
          <w:b w:val="0"/>
          <w:bCs w:val="0"/>
        </w:rPr>
        <w:t>DELVAUX Véronique</w:t>
      </w:r>
    </w:p>
    <w:p w14:paraId="40EFD360" w14:textId="77777777" w:rsidR="003A453A" w:rsidRDefault="003A453A" w:rsidP="003A453A">
      <w:pPr>
        <w:snapToGrid w:val="0"/>
        <w:spacing w:before="100" w:beforeAutospacing="1" w:after="100" w:afterAutospacing="1"/>
        <w:contextualSpacing/>
        <w:jc w:val="both"/>
        <w:rPr>
          <w:rStyle w:val="relative"/>
        </w:rPr>
      </w:pPr>
      <w:r w:rsidRPr="00202AEC">
        <w:rPr>
          <w:rStyle w:val="relative"/>
        </w:rPr>
        <w:t>Institut de Recherche en Sciences et Technologies du Langage (</w:t>
      </w:r>
      <w:r>
        <w:rPr>
          <w:rStyle w:val="relative"/>
        </w:rPr>
        <w:t>Institut Langage</w:t>
      </w:r>
      <w:r w:rsidRPr="00202AEC">
        <w:rPr>
          <w:rStyle w:val="relative"/>
        </w:rPr>
        <w:t>), Service de Métrologie et Sciences du Langage (FPSE), Université de Mons (UMONS)</w:t>
      </w:r>
    </w:p>
    <w:p w14:paraId="02AD4783" w14:textId="77777777" w:rsidR="003A453A" w:rsidRDefault="003A453A" w:rsidP="003A453A">
      <w:pPr>
        <w:snapToGrid w:val="0"/>
        <w:spacing w:before="100" w:beforeAutospacing="1" w:after="100" w:afterAutospacing="1"/>
        <w:contextualSpacing/>
        <w:jc w:val="both"/>
        <w:rPr>
          <w:rStyle w:val="relative"/>
        </w:rPr>
      </w:pPr>
      <w:r w:rsidRPr="00202AEC">
        <w:rPr>
          <w:rStyle w:val="relative"/>
        </w:rPr>
        <w:t>Véronique Delvaux est chercheuse qualifiée FNRS et chargée de cours en phonétique et méthodologie de la recherche à l’UMONS. Ses travaux de recherche concernent la phonétique expérimentale (production et perception de la voix et de la parole), la phonétique clinique et la phonétique de l’enseignement-apprentissage des langues étrangères</w:t>
      </w:r>
      <w:r>
        <w:rPr>
          <w:rStyle w:val="relative"/>
        </w:rPr>
        <w:t>.</w:t>
      </w:r>
      <w:r w:rsidRPr="00202AEC">
        <w:rPr>
          <w:rStyle w:val="relative"/>
        </w:rPr>
        <w:t xml:space="preserve"> </w:t>
      </w:r>
    </w:p>
    <w:p w14:paraId="4A9569E4" w14:textId="4C9D30B3" w:rsidR="003A453A" w:rsidRPr="00202AEC" w:rsidRDefault="003A453A" w:rsidP="003A453A">
      <w:pPr>
        <w:snapToGrid w:val="0"/>
        <w:spacing w:before="100" w:beforeAutospacing="1" w:after="100" w:afterAutospacing="1"/>
        <w:contextualSpacing/>
        <w:jc w:val="both"/>
      </w:pPr>
      <w:r w:rsidRPr="00202AEC">
        <w:rPr>
          <w:rStyle w:val="relative"/>
        </w:rPr>
        <w:t>veronique.delvaux@umons.ac.be</w:t>
      </w:r>
      <w:r w:rsidRPr="00202AEC">
        <w:t>​</w:t>
      </w:r>
    </w:p>
    <w:p w14:paraId="610C3F18" w14:textId="77777777" w:rsidR="003A453A" w:rsidRPr="00202AEC" w:rsidRDefault="003A453A" w:rsidP="003A453A">
      <w:pPr>
        <w:snapToGrid w:val="0"/>
        <w:spacing w:before="100" w:beforeAutospacing="1" w:after="100" w:afterAutospacing="1"/>
        <w:contextualSpacing/>
        <w:rPr>
          <w:rStyle w:val="relative"/>
        </w:rPr>
      </w:pPr>
    </w:p>
    <w:p w14:paraId="47DB21A2" w14:textId="77777777" w:rsidR="003A453A" w:rsidRPr="00202AEC" w:rsidRDefault="003A453A" w:rsidP="00D30FF3">
      <w:pPr>
        <w:spacing w:line="288" w:lineRule="auto"/>
        <w:jc w:val="both"/>
      </w:pPr>
    </w:p>
    <w:p w14:paraId="300D4949" w14:textId="220A290E" w:rsidR="007A6388" w:rsidRPr="00202AEC" w:rsidRDefault="007A6388" w:rsidP="00DF24FC">
      <w:pPr>
        <w:snapToGrid w:val="0"/>
        <w:spacing w:line="360" w:lineRule="auto"/>
        <w:contextualSpacing/>
        <w:jc w:val="both"/>
        <w:rPr>
          <w:b/>
          <w:bCs/>
        </w:rPr>
      </w:pPr>
      <w:r w:rsidRPr="00202AEC">
        <w:rPr>
          <w:b/>
          <w:bCs/>
        </w:rPr>
        <w:t xml:space="preserve">Résumé </w:t>
      </w:r>
    </w:p>
    <w:p w14:paraId="77317A94" w14:textId="76388C8A" w:rsidR="007A6388" w:rsidRPr="00202AEC" w:rsidRDefault="00C2486C" w:rsidP="00DF24FC">
      <w:pPr>
        <w:snapToGrid w:val="0"/>
        <w:spacing w:line="360" w:lineRule="auto"/>
        <w:contextualSpacing/>
        <w:jc w:val="both"/>
      </w:pPr>
      <w:r w:rsidRPr="00202AEC">
        <w:t>Cette étude explore la notion de compliance phonique, défini</w:t>
      </w:r>
      <w:r w:rsidR="003B6CE0" w:rsidRPr="00202AEC">
        <w:t>e</w:t>
      </w:r>
      <w:r w:rsidRPr="00202AEC">
        <w:t xml:space="preserve"> comme la capacité d’un locuteur à percevoir et à reproduire des sons non familiers dans une langue étrangère. À partir d’un protocole expérimental fondé sur une tâche de répétition</w:t>
      </w:r>
      <w:r w:rsidR="00321D31" w:rsidRPr="00202AEC">
        <w:t xml:space="preserve"> de voyelles isolées</w:t>
      </w:r>
      <w:r w:rsidRPr="00202AEC">
        <w:t xml:space="preserve">, la performance de 41 sujets hispanophones a été analysée </w:t>
      </w:r>
      <w:r w:rsidR="00321D31" w:rsidRPr="00202AEC">
        <w:t xml:space="preserve">et évaluée </w:t>
      </w:r>
      <w:r w:rsidRPr="00202AEC">
        <w:t xml:space="preserve">selon trois </w:t>
      </w:r>
      <w:r w:rsidR="00321D31" w:rsidRPr="00202AEC">
        <w:t xml:space="preserve">métriques </w:t>
      </w:r>
      <w:r w:rsidRPr="00202AEC">
        <w:t xml:space="preserve">complémentaires. L’objectif </w:t>
      </w:r>
      <w:r w:rsidR="003B6CE0" w:rsidRPr="00202AEC">
        <w:t>principal</w:t>
      </w:r>
      <w:r w:rsidRPr="00202AEC">
        <w:t xml:space="preserve"> est double : </w:t>
      </w:r>
      <w:r w:rsidR="00752CF5">
        <w:t>il s’agit, d’une part, d’évaluer</w:t>
      </w:r>
      <w:r w:rsidR="00321D31" w:rsidRPr="00202AEC">
        <w:t xml:space="preserve"> </w:t>
      </w:r>
      <w:r w:rsidR="003B6CE0" w:rsidRPr="00202AEC">
        <w:t xml:space="preserve">la pertinence </w:t>
      </w:r>
      <w:r w:rsidR="00752CF5">
        <w:t xml:space="preserve">méthodologique </w:t>
      </w:r>
      <w:r w:rsidR="00321D31" w:rsidRPr="00202AEC">
        <w:t xml:space="preserve">du protocole, mis en </w:t>
      </w:r>
      <w:r w:rsidR="00936882" w:rsidRPr="00202AEC">
        <w:t>œuvre</w:t>
      </w:r>
      <w:r w:rsidR="003B6CE0" w:rsidRPr="00202AEC">
        <w:t xml:space="preserve"> </w:t>
      </w:r>
      <w:r w:rsidR="004212F7" w:rsidRPr="00202AEC">
        <w:t xml:space="preserve">pour la première fois </w:t>
      </w:r>
      <w:r w:rsidR="003B6CE0" w:rsidRPr="00202AEC">
        <w:t xml:space="preserve">sur un large échantillon </w:t>
      </w:r>
      <w:r w:rsidR="00321D31" w:rsidRPr="00202AEC">
        <w:t>de participants</w:t>
      </w:r>
      <w:r w:rsidR="00752CF5">
        <w:t>,</w:t>
      </w:r>
      <w:r w:rsidR="00321D31" w:rsidRPr="00202AEC">
        <w:t xml:space="preserve"> </w:t>
      </w:r>
      <w:r w:rsidR="003B6CE0" w:rsidRPr="00202AEC">
        <w:t xml:space="preserve">et, d’autre part, </w:t>
      </w:r>
      <w:r w:rsidR="00E75926">
        <w:t xml:space="preserve">de mettre en évidence des variations de </w:t>
      </w:r>
      <w:r w:rsidRPr="00202AEC">
        <w:t xml:space="preserve">compliance phonique </w:t>
      </w:r>
      <w:r w:rsidR="003B6CE0" w:rsidRPr="00202AEC">
        <w:t>susceptibles</w:t>
      </w:r>
      <w:r w:rsidRPr="00202AEC">
        <w:t xml:space="preserve"> de </w:t>
      </w:r>
      <w:r w:rsidR="003B6CE0" w:rsidRPr="00202AEC">
        <w:t>refléter</w:t>
      </w:r>
      <w:r w:rsidRPr="00202AEC">
        <w:t xml:space="preserve"> les aptitudes initiales d</w:t>
      </w:r>
      <w:r w:rsidR="00321D31" w:rsidRPr="00202AEC">
        <w:t xml:space="preserve">e futurs </w:t>
      </w:r>
      <w:r w:rsidR="003B6CE0" w:rsidRPr="00202AEC">
        <w:t>apprenants</w:t>
      </w:r>
      <w:r w:rsidR="00321D31" w:rsidRPr="00202AEC">
        <w:t xml:space="preserve"> en langue étrangère</w:t>
      </w:r>
      <w:r w:rsidRPr="00202AEC">
        <w:t xml:space="preserve">. Les </w:t>
      </w:r>
      <w:r w:rsidR="003B6CE0" w:rsidRPr="00202AEC">
        <w:t>résultats</w:t>
      </w:r>
      <w:r w:rsidRPr="00202AEC">
        <w:t xml:space="preserve"> révèlent une forte variabilité interindividuelle et permettent de dégager </w:t>
      </w:r>
      <w:r w:rsidR="00DD7EE3">
        <w:t>des regroupements de comportements</w:t>
      </w:r>
      <w:r w:rsidRPr="00202AEC">
        <w:t xml:space="preserve"> distincts. Ces observations sont discutées tant du point de vue de la recherche </w:t>
      </w:r>
      <w:r w:rsidR="00453D89">
        <w:t>sur le traitement</w:t>
      </w:r>
      <w:r w:rsidRPr="00202AEC">
        <w:t xml:space="preserve"> phonétique </w:t>
      </w:r>
      <w:r w:rsidR="00321D31" w:rsidRPr="00202AEC">
        <w:t>en langue étrangère</w:t>
      </w:r>
      <w:r w:rsidR="003A7EA8">
        <w:t>,</w:t>
      </w:r>
      <w:r w:rsidR="00321D31" w:rsidRPr="00202AEC">
        <w:t xml:space="preserve"> </w:t>
      </w:r>
      <w:r w:rsidRPr="00202AEC">
        <w:t xml:space="preserve">que du point de vue </w:t>
      </w:r>
      <w:r w:rsidR="003B6CE0" w:rsidRPr="00202AEC">
        <w:t>de la didactique des langues.</w:t>
      </w:r>
    </w:p>
    <w:p w14:paraId="63D20258" w14:textId="77777777" w:rsidR="00C2486C" w:rsidRPr="00202AEC" w:rsidRDefault="00C2486C" w:rsidP="00DF24FC">
      <w:pPr>
        <w:snapToGrid w:val="0"/>
        <w:spacing w:line="360" w:lineRule="auto"/>
        <w:contextualSpacing/>
        <w:jc w:val="both"/>
      </w:pPr>
    </w:p>
    <w:p w14:paraId="3D3EF25C" w14:textId="47EF1104" w:rsidR="00455E77" w:rsidRPr="00202AEC" w:rsidRDefault="00455E77" w:rsidP="00DF24FC">
      <w:pPr>
        <w:snapToGrid w:val="0"/>
        <w:spacing w:line="360" w:lineRule="auto"/>
        <w:contextualSpacing/>
        <w:jc w:val="both"/>
      </w:pPr>
      <w:r w:rsidRPr="00202AEC">
        <w:rPr>
          <w:b/>
          <w:bCs/>
        </w:rPr>
        <w:t>Mots-clés</w:t>
      </w:r>
      <w:r w:rsidR="00F57B41" w:rsidRPr="00202AEC">
        <w:t> </w:t>
      </w:r>
      <w:r w:rsidRPr="00202AEC">
        <w:t xml:space="preserve">: </w:t>
      </w:r>
      <w:r w:rsidR="007A6388" w:rsidRPr="00202AEC">
        <w:t xml:space="preserve">compliance phonique, aptitude, </w:t>
      </w:r>
      <w:r w:rsidR="00453D89">
        <w:t>enseignement</w:t>
      </w:r>
      <w:r w:rsidR="00453D89" w:rsidRPr="00202AEC">
        <w:t xml:space="preserve"> </w:t>
      </w:r>
      <w:r w:rsidR="008A596B">
        <w:t>de la prononciation</w:t>
      </w:r>
      <w:r w:rsidR="007A6388" w:rsidRPr="00202AEC">
        <w:t xml:space="preserve">, </w:t>
      </w:r>
      <w:r w:rsidR="00453D89">
        <w:t>apprentissage phonétique, langues étrangères</w:t>
      </w:r>
      <w:r w:rsidR="00C2486C" w:rsidRPr="00202AEC">
        <w:t xml:space="preserve">, </w:t>
      </w:r>
      <w:r w:rsidR="007A6388" w:rsidRPr="00202AEC">
        <w:t>pédagogie différenciée</w:t>
      </w:r>
      <w:r w:rsidRPr="00202AEC">
        <w:t xml:space="preserve"> </w:t>
      </w:r>
    </w:p>
    <w:p w14:paraId="4CD98DC6" w14:textId="77777777" w:rsidR="007A6388" w:rsidRPr="00202AEC" w:rsidRDefault="007A6388" w:rsidP="00DF24FC">
      <w:pPr>
        <w:snapToGrid w:val="0"/>
        <w:spacing w:line="360" w:lineRule="auto"/>
        <w:contextualSpacing/>
        <w:jc w:val="both"/>
      </w:pPr>
    </w:p>
    <w:p w14:paraId="714EB135" w14:textId="71381D91" w:rsidR="007A6388" w:rsidRPr="00202AEC" w:rsidRDefault="007A6388" w:rsidP="00DF24FC">
      <w:pPr>
        <w:snapToGrid w:val="0"/>
        <w:spacing w:line="360" w:lineRule="auto"/>
        <w:contextualSpacing/>
        <w:jc w:val="both"/>
        <w:rPr>
          <w:b/>
          <w:bCs/>
          <w:i/>
          <w:iCs/>
          <w:lang w:val="en-US"/>
        </w:rPr>
      </w:pPr>
      <w:r w:rsidRPr="00202AEC">
        <w:rPr>
          <w:b/>
          <w:bCs/>
          <w:i/>
          <w:iCs/>
          <w:lang w:val="en-US"/>
        </w:rPr>
        <w:t>Abstract</w:t>
      </w:r>
    </w:p>
    <w:p w14:paraId="15D5EC4A" w14:textId="33DB191F" w:rsidR="00936882" w:rsidRPr="00936882" w:rsidRDefault="004064DC" w:rsidP="00936882">
      <w:pPr>
        <w:snapToGrid w:val="0"/>
        <w:spacing w:after="120" w:line="360" w:lineRule="auto"/>
        <w:contextualSpacing/>
        <w:jc w:val="both"/>
        <w:rPr>
          <w:lang w:val="en-US"/>
        </w:rPr>
      </w:pPr>
      <w:r w:rsidRPr="00202AEC">
        <w:rPr>
          <w:lang w:val="en-US"/>
        </w:rPr>
        <w:t xml:space="preserve">This </w:t>
      </w:r>
      <w:r w:rsidR="00936882" w:rsidRPr="00936882">
        <w:rPr>
          <w:lang w:val="en-US"/>
        </w:rPr>
        <w:t xml:space="preserve">study explores the notion of phonetic compliance, defined as a speaker’s ability to perceive and reproduce unfamiliar sounds in a foreign language. Based on an experimental protocol involving a vowel repetition task, the performance of 41 Spanish-speaking participants was analyzed and evaluated using three complementary metrics. The study pursues a dual objective: </w:t>
      </w:r>
      <w:r w:rsidR="00BC42A0">
        <w:rPr>
          <w:lang w:val="en-US"/>
        </w:rPr>
        <w:t>it aims</w:t>
      </w:r>
      <w:r w:rsidR="00936882" w:rsidRPr="00936882">
        <w:rPr>
          <w:lang w:val="en-US"/>
        </w:rPr>
        <w:t>,</w:t>
      </w:r>
      <w:r w:rsidR="00BC42A0">
        <w:rPr>
          <w:lang w:val="en-US"/>
        </w:rPr>
        <w:t xml:space="preserve"> on the one hand,</w:t>
      </w:r>
      <w:r w:rsidR="00936882" w:rsidRPr="00936882">
        <w:rPr>
          <w:lang w:val="en-US"/>
        </w:rPr>
        <w:t xml:space="preserve"> to assess the </w:t>
      </w:r>
      <w:r w:rsidR="00BC42A0">
        <w:rPr>
          <w:lang w:val="en-US"/>
        </w:rPr>
        <w:t xml:space="preserve">methodological </w:t>
      </w:r>
      <w:r w:rsidR="00936882" w:rsidRPr="00936882">
        <w:rPr>
          <w:lang w:val="en-US"/>
        </w:rPr>
        <w:t xml:space="preserve">relevance of the protocol, which </w:t>
      </w:r>
      <w:r w:rsidR="00BC42A0">
        <w:rPr>
          <w:lang w:val="en-US"/>
        </w:rPr>
        <w:t>was</w:t>
      </w:r>
      <w:r w:rsidR="00936882" w:rsidRPr="00936882">
        <w:rPr>
          <w:lang w:val="en-US"/>
        </w:rPr>
        <w:t xml:space="preserve"> implemented for the first time on a large sample of participants</w:t>
      </w:r>
      <w:r w:rsidR="00BC42A0">
        <w:rPr>
          <w:lang w:val="en-US"/>
        </w:rPr>
        <w:t>,</w:t>
      </w:r>
      <w:r w:rsidR="00936882" w:rsidRPr="00936882">
        <w:rPr>
          <w:lang w:val="en-US"/>
        </w:rPr>
        <w:t xml:space="preserve"> and</w:t>
      </w:r>
      <w:r w:rsidR="00BC42A0">
        <w:rPr>
          <w:lang w:val="en-US"/>
        </w:rPr>
        <w:t>,</w:t>
      </w:r>
      <w:r w:rsidR="00936882" w:rsidRPr="00936882">
        <w:rPr>
          <w:lang w:val="en-US"/>
        </w:rPr>
        <w:t xml:space="preserve"> on the other hand, to </w:t>
      </w:r>
      <w:r w:rsidR="001E0B0E">
        <w:rPr>
          <w:lang w:val="en-US"/>
        </w:rPr>
        <w:t xml:space="preserve">highlight variations in phonetic </w:t>
      </w:r>
      <w:r w:rsidR="00936882" w:rsidRPr="00936882">
        <w:rPr>
          <w:lang w:val="en-US"/>
        </w:rPr>
        <w:t xml:space="preserve">compliance that may reflect the initial phonetic aptitude of future foreign language learners. The results reveal a high degree of interindividual variability and allow for the identification of distinct </w:t>
      </w:r>
      <w:r w:rsidR="00073876">
        <w:rPr>
          <w:lang w:val="en-US"/>
        </w:rPr>
        <w:t>patterns</w:t>
      </w:r>
      <w:r w:rsidR="001E0B0E">
        <w:rPr>
          <w:lang w:val="en-US"/>
        </w:rPr>
        <w:t xml:space="preserve"> of behavior</w:t>
      </w:r>
      <w:r w:rsidR="00936882" w:rsidRPr="00936882">
        <w:rPr>
          <w:lang w:val="en-US"/>
        </w:rPr>
        <w:t xml:space="preserve">. These findings are discussed both from the perspective of </w:t>
      </w:r>
      <w:r w:rsidR="00073876">
        <w:rPr>
          <w:lang w:val="en-US"/>
        </w:rPr>
        <w:t xml:space="preserve">phonetic processing </w:t>
      </w:r>
      <w:r w:rsidR="00936882" w:rsidRPr="00936882">
        <w:rPr>
          <w:lang w:val="en-US"/>
        </w:rPr>
        <w:t>research and foreign language pedagogy.</w:t>
      </w:r>
    </w:p>
    <w:p w14:paraId="28B29BE4" w14:textId="77777777" w:rsidR="0041675D" w:rsidRPr="00202AEC" w:rsidRDefault="0041675D" w:rsidP="00DF24FC">
      <w:pPr>
        <w:snapToGrid w:val="0"/>
        <w:spacing w:after="120" w:line="360" w:lineRule="auto"/>
        <w:contextualSpacing/>
        <w:jc w:val="both"/>
        <w:rPr>
          <w:lang w:val="en-US"/>
        </w:rPr>
      </w:pPr>
    </w:p>
    <w:p w14:paraId="642422A8" w14:textId="0C9FAF6B" w:rsidR="00BC42A0" w:rsidRDefault="007A6388" w:rsidP="00DF24FC">
      <w:pPr>
        <w:snapToGrid w:val="0"/>
        <w:spacing w:line="360" w:lineRule="auto"/>
        <w:contextualSpacing/>
        <w:jc w:val="both"/>
        <w:rPr>
          <w:lang w:val="en-US"/>
        </w:rPr>
      </w:pPr>
      <w:r w:rsidRPr="00202AEC">
        <w:rPr>
          <w:b/>
          <w:bCs/>
          <w:i/>
          <w:iCs/>
          <w:lang w:val="en-US"/>
        </w:rPr>
        <w:t>Keywords</w:t>
      </w:r>
      <w:r w:rsidRPr="00202AEC">
        <w:rPr>
          <w:lang w:val="en-US"/>
        </w:rPr>
        <w:t xml:space="preserve">: phonetic compliance, aptitude, </w:t>
      </w:r>
      <w:r w:rsidR="00057A90">
        <w:rPr>
          <w:lang w:val="en-US"/>
        </w:rPr>
        <w:t>pronunciation teaching</w:t>
      </w:r>
      <w:r w:rsidR="00C2486C" w:rsidRPr="00202AEC">
        <w:rPr>
          <w:lang w:val="en-US"/>
        </w:rPr>
        <w:t xml:space="preserve">, </w:t>
      </w:r>
      <w:r w:rsidR="00057A90">
        <w:rPr>
          <w:lang w:val="en-US"/>
        </w:rPr>
        <w:t xml:space="preserve">phonetic learning, foreign </w:t>
      </w:r>
      <w:r w:rsidR="004064DC" w:rsidRPr="00202AEC">
        <w:rPr>
          <w:lang w:val="en-US"/>
        </w:rPr>
        <w:t>language</w:t>
      </w:r>
      <w:r w:rsidR="00057A90">
        <w:rPr>
          <w:lang w:val="en-US"/>
        </w:rPr>
        <w:t>s</w:t>
      </w:r>
      <w:r w:rsidR="00C2486C" w:rsidRPr="00202AEC">
        <w:rPr>
          <w:lang w:val="en-US"/>
        </w:rPr>
        <w:t>, differentiated pedagogy</w:t>
      </w:r>
    </w:p>
    <w:p w14:paraId="651963F3" w14:textId="77777777" w:rsidR="00151202" w:rsidRPr="00202AEC" w:rsidRDefault="00151202" w:rsidP="00DF24FC">
      <w:pPr>
        <w:snapToGrid w:val="0"/>
        <w:spacing w:line="360" w:lineRule="auto"/>
        <w:contextualSpacing/>
        <w:jc w:val="both"/>
        <w:rPr>
          <w:lang w:val="en-US"/>
        </w:rPr>
      </w:pPr>
    </w:p>
    <w:p w14:paraId="38FDE66E" w14:textId="2BEFF0D7" w:rsidR="00AB0CE7" w:rsidRPr="003E54D0" w:rsidRDefault="007E411C" w:rsidP="00DF24FC">
      <w:pPr>
        <w:pStyle w:val="Paragraphedeliste"/>
        <w:numPr>
          <w:ilvl w:val="0"/>
          <w:numId w:val="1"/>
        </w:numPr>
        <w:snapToGrid w:val="0"/>
        <w:spacing w:line="360" w:lineRule="auto"/>
        <w:ind w:left="0" w:firstLine="426"/>
        <w:jc w:val="both"/>
        <w:rPr>
          <w:b/>
          <w:bCs/>
        </w:rPr>
      </w:pPr>
      <w:r w:rsidRPr="00202AEC">
        <w:rPr>
          <w:b/>
          <w:bCs/>
        </w:rPr>
        <w:lastRenderedPageBreak/>
        <w:t>Introduction</w:t>
      </w:r>
    </w:p>
    <w:p w14:paraId="1CAA53AF" w14:textId="2D9D413B" w:rsidR="00AB0CE7" w:rsidRPr="00427876" w:rsidRDefault="00E6491F" w:rsidP="00936882">
      <w:pPr>
        <w:snapToGrid w:val="0"/>
        <w:spacing w:line="360" w:lineRule="auto"/>
        <w:jc w:val="both"/>
        <w:rPr>
          <w:strike/>
          <w:color w:val="000000" w:themeColor="text1"/>
        </w:rPr>
      </w:pPr>
      <w:r>
        <w:t xml:space="preserve">L’apprentissage de la prononciation en langue étrangère (L2), envisagé ici sous l’angle des performances productives des </w:t>
      </w:r>
      <w:r w:rsidRPr="00427876">
        <w:t>apprenants</w:t>
      </w:r>
      <w:r w:rsidR="00427876" w:rsidRPr="00427876">
        <w:t xml:space="preserve">, </w:t>
      </w:r>
      <w:r w:rsidR="00A5408A">
        <w:t>constitue</w:t>
      </w:r>
      <w:r w:rsidR="00910C06" w:rsidRPr="00202AEC">
        <w:t xml:space="preserve"> une tâche complexe et un défi majeur, car il exige que l</w:t>
      </w:r>
      <w:r w:rsidR="00282FF3">
        <w:t>’</w:t>
      </w:r>
      <w:r w:rsidR="00910C06" w:rsidRPr="00202AEC">
        <w:t xml:space="preserve">apprenant adapte ses processus cognitifs, initialement </w:t>
      </w:r>
      <w:r w:rsidR="00B95F02" w:rsidRPr="00202AEC">
        <w:t>structurés à partir de</w:t>
      </w:r>
      <w:r w:rsidR="00910C06" w:rsidRPr="00202AEC">
        <w:t xml:space="preserve"> sa langue maternelle (L1), aux particularités du système phonique de la L2 (Best, 1995</w:t>
      </w:r>
      <w:r w:rsidR="00645D82" w:rsidRPr="00202AEC">
        <w:t> ;</w:t>
      </w:r>
      <w:r w:rsidR="00910C06" w:rsidRPr="00202AEC">
        <w:t xml:space="preserve"> Best </w:t>
      </w:r>
      <w:r w:rsidR="005F72F5" w:rsidRPr="00202AEC">
        <w:t>&amp;</w:t>
      </w:r>
      <w:r w:rsidR="00910C06" w:rsidRPr="00202AEC">
        <w:t xml:space="preserve"> Tyler, 2007</w:t>
      </w:r>
      <w:r w:rsidR="00F57B41" w:rsidRPr="00202AEC">
        <w:t> </w:t>
      </w:r>
      <w:r w:rsidR="00910C06" w:rsidRPr="00202AEC">
        <w:t>; Flege, 1995, 2016</w:t>
      </w:r>
      <w:r w:rsidR="005F7F8D" w:rsidRPr="00202AEC">
        <w:t> ; Flege &amp; Bohn, 2021 ;</w:t>
      </w:r>
      <w:r w:rsidR="00910C06" w:rsidRPr="00202AEC">
        <w:t xml:space="preserve"> Kuhl, 2000</w:t>
      </w:r>
      <w:r w:rsidR="00F57B41" w:rsidRPr="00202AEC">
        <w:t> </w:t>
      </w:r>
      <w:r w:rsidR="00910C06" w:rsidRPr="00202AEC">
        <w:t>; Kuhl et al., 2008</w:t>
      </w:r>
      <w:r w:rsidR="00F57B41" w:rsidRPr="00202AEC">
        <w:t> </w:t>
      </w:r>
      <w:r w:rsidR="00910C06" w:rsidRPr="00202AEC">
        <w:t xml:space="preserve">; Strange, 1995). </w:t>
      </w:r>
      <w:r w:rsidR="00AB0CE7" w:rsidRPr="00202AEC">
        <w:t>Étant donné les spécificités propres à chaque langue</w:t>
      </w:r>
      <w:r w:rsidR="00CF74A2" w:rsidRPr="00202AEC">
        <w:t xml:space="preserve"> – telles que l’inventaire phonémique, les règles de distribution des sons, la structure syllabique, les traits prosodiques (rythme, intonation, accentuation) ou encore les </w:t>
      </w:r>
      <w:r w:rsidR="001745BB" w:rsidRPr="00202AEC">
        <w:t>habitudes</w:t>
      </w:r>
      <w:r w:rsidR="00CF74A2" w:rsidRPr="00202AEC">
        <w:t xml:space="preserve"> articulatoires </w:t>
      </w:r>
      <w:r w:rsidR="00B95F02" w:rsidRPr="00202AEC">
        <w:t>(« articulatory settings »</w:t>
      </w:r>
      <w:r w:rsidR="00282FF3">
        <w:t> :</w:t>
      </w:r>
      <w:r w:rsidR="00B95F02" w:rsidRPr="00202AEC">
        <w:t xml:space="preserve"> </w:t>
      </w:r>
      <w:r w:rsidR="00B95F02" w:rsidRPr="00490875">
        <w:rPr>
          <w:color w:val="000000" w:themeColor="text1"/>
          <w:lang w:val="fr-FR"/>
        </w:rPr>
        <w:t>Georgiou</w:t>
      </w:r>
      <w:r w:rsidR="00B95F02" w:rsidRPr="00202AEC">
        <w:rPr>
          <w:color w:val="000000" w:themeColor="text1"/>
          <w:lang w:val="fr-FR"/>
        </w:rPr>
        <w:t xml:space="preserve"> </w:t>
      </w:r>
      <w:r w:rsidR="00B95F02" w:rsidRPr="00490875">
        <w:rPr>
          <w:color w:val="000000" w:themeColor="text1"/>
          <w:lang w:val="fr-FR"/>
        </w:rPr>
        <w:t>&amp; Kaskampa, 2024</w:t>
      </w:r>
      <w:r w:rsidR="00282FF3">
        <w:rPr>
          <w:color w:val="000000" w:themeColor="text1"/>
          <w:lang w:val="fr-FR"/>
        </w:rPr>
        <w:t> ;</w:t>
      </w:r>
      <w:r w:rsidR="00B95F02" w:rsidRPr="00490875">
        <w:rPr>
          <w:color w:val="000000" w:themeColor="text1"/>
          <w:lang w:val="fr-FR"/>
        </w:rPr>
        <w:t xml:space="preserve"> </w:t>
      </w:r>
      <w:r w:rsidR="00061654">
        <w:rPr>
          <w:color w:val="000000" w:themeColor="text1"/>
          <w:lang w:val="fr-FR"/>
        </w:rPr>
        <w:t xml:space="preserve">Honikman, 1964 ; </w:t>
      </w:r>
      <w:r w:rsidR="00B95F02" w:rsidRPr="00490875">
        <w:rPr>
          <w:color w:val="000000" w:themeColor="text1"/>
          <w:lang w:val="fr-FR"/>
        </w:rPr>
        <w:t>Laver, 1978</w:t>
      </w:r>
      <w:r w:rsidR="00282FF3">
        <w:rPr>
          <w:color w:val="000000" w:themeColor="text1"/>
          <w:lang w:val="fr-FR"/>
        </w:rPr>
        <w:t xml:space="preserve"> ; </w:t>
      </w:r>
      <w:r w:rsidR="00B95F02" w:rsidRPr="00490875">
        <w:rPr>
          <w:color w:val="000000" w:themeColor="text1"/>
          <w:lang w:val="fr-FR"/>
        </w:rPr>
        <w:t>Wilson</w:t>
      </w:r>
      <w:r w:rsidR="00282FF3">
        <w:rPr>
          <w:color w:val="000000" w:themeColor="text1"/>
          <w:lang w:val="fr-FR"/>
        </w:rPr>
        <w:t xml:space="preserve"> </w:t>
      </w:r>
      <w:r w:rsidR="00B95F02" w:rsidRPr="00490875">
        <w:rPr>
          <w:color w:val="000000" w:themeColor="text1"/>
          <w:lang w:val="fr-FR"/>
        </w:rPr>
        <w:t>&amp; Gick, 2014</w:t>
      </w:r>
      <w:r w:rsidR="00B95F02" w:rsidRPr="00202AEC">
        <w:t xml:space="preserve">) </w:t>
      </w:r>
      <w:r w:rsidR="00CF74A2" w:rsidRPr="00202AEC">
        <w:t>–</w:t>
      </w:r>
      <w:r w:rsidR="00AB0CE7" w:rsidRPr="00202AEC">
        <w:t xml:space="preserve">, les stratégies </w:t>
      </w:r>
      <w:r w:rsidR="00970954" w:rsidRPr="00202AEC">
        <w:t xml:space="preserve">ainsi que </w:t>
      </w:r>
      <w:r w:rsidR="00054031" w:rsidRPr="00202AEC">
        <w:t xml:space="preserve">les mécanismes </w:t>
      </w:r>
      <w:r w:rsidR="001745BB" w:rsidRPr="00202AEC">
        <w:t>de perception</w:t>
      </w:r>
      <w:r w:rsidR="00970954" w:rsidRPr="00202AEC">
        <w:t xml:space="preserve"> et </w:t>
      </w:r>
      <w:r w:rsidR="001745BB" w:rsidRPr="00202AEC">
        <w:t>de production</w:t>
      </w:r>
      <w:r w:rsidR="00970954" w:rsidRPr="00202AEC">
        <w:t xml:space="preserve"> développés lors de l’acquisition de la L1 se révèlent souvent</w:t>
      </w:r>
      <w:r w:rsidR="00AB0CE7" w:rsidRPr="00202AEC">
        <w:t xml:space="preserve"> partiellement inadaptés pour appréhender les contrastes phonologiques et ma</w:t>
      </w:r>
      <w:r w:rsidR="00282FF3">
        <w:t>î</w:t>
      </w:r>
      <w:r w:rsidR="00AB0CE7" w:rsidRPr="00202AEC">
        <w:t xml:space="preserve">triser les variantes phonétiques de la langue cible. Ainsi, malgré des heures de pratique, l'apprenant adulte </w:t>
      </w:r>
      <w:r w:rsidR="00950AEA" w:rsidRPr="00202AEC">
        <w:t>conserve</w:t>
      </w:r>
      <w:r w:rsidR="00AB0CE7" w:rsidRPr="00202AEC">
        <w:t xml:space="preserve"> généralement un </w:t>
      </w:r>
      <w:r w:rsidR="00A824BF" w:rsidRPr="00202AEC">
        <w:t>« </w:t>
      </w:r>
      <w:r w:rsidR="00AB0CE7" w:rsidRPr="00202AEC">
        <w:t>accent</w:t>
      </w:r>
      <w:r w:rsidR="00A824BF" w:rsidRPr="00202AEC">
        <w:t> »</w:t>
      </w:r>
      <w:r w:rsidR="00AB0CE7" w:rsidRPr="00202AEC">
        <w:t xml:space="preserve"> </w:t>
      </w:r>
      <w:r w:rsidR="00950AEA" w:rsidRPr="00202AEC">
        <w:t xml:space="preserve">influencé par sa langue maternelle </w:t>
      </w:r>
      <w:r w:rsidR="00AB0CE7" w:rsidRPr="00202AEC">
        <w:t>(</w:t>
      </w:r>
      <w:r w:rsidR="00F40697" w:rsidRPr="00202AEC">
        <w:t xml:space="preserve">Derwing &amp; Munro, 2005, 2015 ; </w:t>
      </w:r>
      <w:r w:rsidR="00636817" w:rsidRPr="00202AEC">
        <w:t>Harmegnies</w:t>
      </w:r>
      <w:r w:rsidR="005F72F5" w:rsidRPr="00202AEC">
        <w:t xml:space="preserve"> et al.</w:t>
      </w:r>
      <w:r w:rsidR="00636817" w:rsidRPr="00202AEC">
        <w:t>, 2005</w:t>
      </w:r>
      <w:r w:rsidR="00202AEC" w:rsidRPr="00202AEC">
        <w:t> ;</w:t>
      </w:r>
      <w:r w:rsidR="00636817" w:rsidRPr="00202AEC">
        <w:t xml:space="preserve"> </w:t>
      </w:r>
      <w:r w:rsidR="00D6545D" w:rsidRPr="00202AEC">
        <w:t xml:space="preserve">Munro &amp; Derwing, 2020 ; </w:t>
      </w:r>
      <w:r w:rsidR="00AB0CE7" w:rsidRPr="00202AEC">
        <w:t>Piske</w:t>
      </w:r>
      <w:r w:rsidR="005F72F5" w:rsidRPr="00202AEC">
        <w:t xml:space="preserve"> et al.</w:t>
      </w:r>
      <w:r w:rsidR="00282FF3">
        <w:t xml:space="preserve">, </w:t>
      </w:r>
      <w:r w:rsidR="00AB0CE7" w:rsidRPr="00202AEC">
        <w:t>200</w:t>
      </w:r>
      <w:r w:rsidR="00F40697" w:rsidRPr="00202AEC">
        <w:t>1 ; Saito, 2021</w:t>
      </w:r>
      <w:r w:rsidR="00AB0CE7" w:rsidRPr="00202AEC">
        <w:t>)</w:t>
      </w:r>
      <w:r w:rsidR="00950AEA" w:rsidRPr="00202AEC">
        <w:t xml:space="preserve">. </w:t>
      </w:r>
      <w:r w:rsidR="00D27A11">
        <w:t>Dans de nombreux modèles d</w:t>
      </w:r>
      <w:r w:rsidR="00191CB8">
        <w:t>’</w:t>
      </w:r>
      <w:r w:rsidR="00D27A11">
        <w:t>acquisition phonétique en L2 (</w:t>
      </w:r>
      <w:r w:rsidR="00D27A11" w:rsidRPr="00202AEC">
        <w:t>Best, 1995 ; Best &amp; Tyler, 2007</w:t>
      </w:r>
      <w:r w:rsidR="00D27A11">
        <w:t xml:space="preserve"> ; Flege, 1995), l’enjeu de l’apprentissage consiste à </w:t>
      </w:r>
      <w:r w:rsidR="00AB0CE7" w:rsidRPr="00202AEC">
        <w:t>s’éloigner progressivement de ces stratégies basées uniquement sur la L1</w:t>
      </w:r>
      <w:r w:rsidR="00EB1354">
        <w:t>,</w:t>
      </w:r>
      <w:r w:rsidR="00AB0CE7" w:rsidRPr="00202AEC">
        <w:t xml:space="preserve"> afin de construire un système propre à la L2</w:t>
      </w:r>
      <w:r w:rsidR="00282FF3">
        <w:t xml:space="preserve">, </w:t>
      </w:r>
      <w:r w:rsidR="00D27A11">
        <w:t>susceptible de fonctionner de manière relativement autonome sur le plan phonologique ou en interaction avec la L1.</w:t>
      </w:r>
    </w:p>
    <w:p w14:paraId="4F0BAA5C" w14:textId="73538429" w:rsidR="00AA2120" w:rsidRPr="00D463C5" w:rsidRDefault="00AA2120" w:rsidP="00D463C5">
      <w:pPr>
        <w:pStyle w:val="CorpsA"/>
        <w:widowControl w:val="0"/>
        <w:spacing w:line="360" w:lineRule="auto"/>
        <w:contextualSpacing/>
        <w:jc w:val="both"/>
        <w:rPr>
          <w:rFonts w:ascii="Times New Roman" w:hAnsi="Times New Roman" w:cs="Times New Roman"/>
        </w:rPr>
      </w:pPr>
      <w:r w:rsidRPr="00202AEC">
        <w:rPr>
          <w:rFonts w:ascii="Times New Roman" w:hAnsi="Times New Roman" w:cs="Times New Roman"/>
        </w:rPr>
        <w:t>Il est désormais bien établi que la capacité d’acquisition d’une langue seconde varie considérablement d’un individu à l’autre, notamment en ce qui concerne la perception et la production des sons de parole (Jilka et al., 2008</w:t>
      </w:r>
      <w:r w:rsidR="00BC5DE7" w:rsidRPr="00202AEC">
        <w:rPr>
          <w:rFonts w:ascii="Times New Roman" w:hAnsi="Times New Roman" w:cs="Times New Roman"/>
        </w:rPr>
        <w:t> </w:t>
      </w:r>
      <w:r w:rsidRPr="00202AEC">
        <w:rPr>
          <w:rFonts w:ascii="Times New Roman" w:hAnsi="Times New Roman" w:cs="Times New Roman"/>
        </w:rPr>
        <w:t>; Lewandowski &amp; Jilka, 2019). Ces performances sont influencées par un ensemble complexe de facteurs que l’on peut regrouper en trois grandes catégories</w:t>
      </w:r>
      <w:r w:rsidR="00BC5DE7" w:rsidRPr="00202AEC">
        <w:rPr>
          <w:rFonts w:ascii="Times New Roman" w:hAnsi="Times New Roman" w:cs="Times New Roman"/>
        </w:rPr>
        <w:t> </w:t>
      </w:r>
      <w:r w:rsidRPr="00202AEC">
        <w:rPr>
          <w:rFonts w:ascii="Times New Roman" w:hAnsi="Times New Roman" w:cs="Times New Roman"/>
        </w:rPr>
        <w:t xml:space="preserve">: (i) les facteurs linguistiques liés aux différences </w:t>
      </w:r>
      <w:r w:rsidR="00992831" w:rsidRPr="00202AEC">
        <w:rPr>
          <w:rFonts w:ascii="Times New Roman" w:hAnsi="Times New Roman" w:cs="Times New Roman"/>
        </w:rPr>
        <w:t xml:space="preserve">et similarités </w:t>
      </w:r>
      <w:r w:rsidRPr="00202AEC">
        <w:rPr>
          <w:rFonts w:ascii="Times New Roman" w:hAnsi="Times New Roman" w:cs="Times New Roman"/>
        </w:rPr>
        <w:t>entre les systèmes phonologiques de L1 et L2</w:t>
      </w:r>
      <w:r w:rsidR="00BC5DE7" w:rsidRPr="00202AEC">
        <w:rPr>
          <w:rFonts w:ascii="Times New Roman" w:hAnsi="Times New Roman" w:cs="Times New Roman"/>
        </w:rPr>
        <w:t> </w:t>
      </w:r>
      <w:r w:rsidR="000619CB" w:rsidRPr="00202AEC">
        <w:rPr>
          <w:rFonts w:ascii="Times New Roman" w:hAnsi="Times New Roman" w:cs="Times New Roman"/>
        </w:rPr>
        <w:t>(</w:t>
      </w:r>
      <w:r w:rsidR="00E1554A" w:rsidRPr="00202AEC">
        <w:rPr>
          <w:rFonts w:ascii="Times New Roman" w:hAnsi="Times New Roman" w:cs="Times New Roman"/>
        </w:rPr>
        <w:t xml:space="preserve">Best, 1995 ; Best &amp; Tyler, 2007 ; </w:t>
      </w:r>
      <w:r w:rsidR="000619CB" w:rsidRPr="00202AEC">
        <w:rPr>
          <w:rFonts w:ascii="Times New Roman" w:hAnsi="Times New Roman" w:cs="Times New Roman"/>
        </w:rPr>
        <w:t>Park et al., 2024) </w:t>
      </w:r>
      <w:r w:rsidRPr="00202AEC">
        <w:rPr>
          <w:rFonts w:ascii="Times New Roman" w:hAnsi="Times New Roman" w:cs="Times New Roman"/>
        </w:rPr>
        <w:t>; (ii) les facteurs extralinguistiques liés à l’expérience individuelle : Flege et ses collaborateurs</w:t>
      </w:r>
      <w:r w:rsidR="00944AEB">
        <w:rPr>
          <w:rFonts w:ascii="Times New Roman" w:hAnsi="Times New Roman" w:cs="Times New Roman"/>
        </w:rPr>
        <w:t xml:space="preserve"> </w:t>
      </w:r>
      <w:r w:rsidRPr="00202AEC">
        <w:rPr>
          <w:rFonts w:ascii="Times New Roman" w:hAnsi="Times New Roman" w:cs="Times New Roman"/>
        </w:rPr>
        <w:t>(</w:t>
      </w:r>
      <w:r w:rsidR="00944AEB">
        <w:rPr>
          <w:rFonts w:ascii="Times New Roman" w:hAnsi="Times New Roman" w:cs="Times New Roman"/>
        </w:rPr>
        <w:t xml:space="preserve">2001, 2011) </w:t>
      </w:r>
      <w:r w:rsidRPr="00202AEC">
        <w:rPr>
          <w:rFonts w:ascii="Times New Roman" w:hAnsi="Times New Roman" w:cs="Times New Roman"/>
        </w:rPr>
        <w:t>ont montré que la quantité (par exemple, Piske et al., 2001) et la qualité de l’exposition à la L2 pouvaient influencer de manière significative les performances moyennant des variables sociolinguistiques telles que l’âge d’apprentissage, l’âge d’arrivée et/ou la durée de séjour dans un environnement L2</w:t>
      </w:r>
      <w:r w:rsidR="00DB4EB0" w:rsidRPr="00202AEC">
        <w:rPr>
          <w:rFonts w:ascii="Times New Roman" w:hAnsi="Times New Roman" w:cs="Times New Roman"/>
        </w:rPr>
        <w:t> </w:t>
      </w:r>
      <w:r w:rsidRPr="00202AEC">
        <w:rPr>
          <w:rFonts w:ascii="Times New Roman" w:hAnsi="Times New Roman" w:cs="Times New Roman"/>
        </w:rPr>
        <w:t>; enfin (iii) les facteurs extralinguistiques liés aux différences individuelles</w:t>
      </w:r>
      <w:r w:rsidR="00586F1B">
        <w:rPr>
          <w:rFonts w:ascii="Times New Roman" w:hAnsi="Times New Roman" w:cs="Times New Roman"/>
        </w:rPr>
        <w:t xml:space="preserve"> </w:t>
      </w:r>
      <w:r w:rsidRPr="00202AEC">
        <w:rPr>
          <w:rFonts w:ascii="Times New Roman" w:hAnsi="Times New Roman" w:cs="Times New Roman"/>
        </w:rPr>
        <w:t>intrinsèques aux sujets, parmi lesquelles des facteurs psychologiques tels que la motivation (</w:t>
      </w:r>
      <w:r w:rsidR="00330DD6" w:rsidRPr="00202AEC">
        <w:rPr>
          <w:rFonts w:ascii="Times New Roman" w:hAnsi="Times New Roman" w:cs="Times New Roman"/>
        </w:rPr>
        <w:t>Saito, 2021</w:t>
      </w:r>
      <w:r w:rsidRPr="00202AEC">
        <w:rPr>
          <w:rFonts w:ascii="Times New Roman" w:hAnsi="Times New Roman" w:cs="Times New Roman"/>
        </w:rPr>
        <w:t>) et la personnalité (</w:t>
      </w:r>
      <w:r w:rsidR="003A00B8" w:rsidRPr="00202AEC">
        <w:rPr>
          <w:rFonts w:ascii="Times New Roman" w:hAnsi="Times New Roman" w:cs="Times New Roman"/>
        </w:rPr>
        <w:t>Zhang et al.</w:t>
      </w:r>
      <w:r w:rsidRPr="00202AEC">
        <w:rPr>
          <w:rFonts w:ascii="Times New Roman" w:hAnsi="Times New Roman" w:cs="Times New Roman"/>
        </w:rPr>
        <w:t>, 200</w:t>
      </w:r>
      <w:r w:rsidR="003A00B8" w:rsidRPr="00202AEC">
        <w:rPr>
          <w:rFonts w:ascii="Times New Roman" w:hAnsi="Times New Roman" w:cs="Times New Roman"/>
        </w:rPr>
        <w:t>9</w:t>
      </w:r>
      <w:r w:rsidRPr="00202AEC">
        <w:rPr>
          <w:rFonts w:ascii="Times New Roman" w:hAnsi="Times New Roman" w:cs="Times New Roman"/>
        </w:rPr>
        <w:t>)</w:t>
      </w:r>
      <w:r w:rsidR="00992831" w:rsidRPr="00202AEC">
        <w:rPr>
          <w:rFonts w:ascii="Times New Roman" w:hAnsi="Times New Roman" w:cs="Times New Roman"/>
        </w:rPr>
        <w:t xml:space="preserve"> et</w:t>
      </w:r>
      <w:r w:rsidRPr="00202AEC">
        <w:rPr>
          <w:rFonts w:ascii="Times New Roman" w:hAnsi="Times New Roman" w:cs="Times New Roman"/>
        </w:rPr>
        <w:t xml:space="preserve"> des facteurs cognitifs, en particulier la mémoire de travail et l’attention sélective (</w:t>
      </w:r>
      <w:r w:rsidR="005F7F8D" w:rsidRPr="00202AEC">
        <w:rPr>
          <w:rFonts w:ascii="Times New Roman" w:hAnsi="Times New Roman" w:cs="Times New Roman"/>
        </w:rPr>
        <w:t xml:space="preserve">Schwab et al., 2024 ; </w:t>
      </w:r>
      <w:r w:rsidR="007B6E87" w:rsidRPr="00202AEC">
        <w:rPr>
          <w:rFonts w:ascii="Times New Roman" w:hAnsi="Times New Roman" w:cs="Times New Roman"/>
        </w:rPr>
        <w:lastRenderedPageBreak/>
        <w:t>Zhang et al., 2023</w:t>
      </w:r>
      <w:r w:rsidR="00362E70" w:rsidRPr="00202AEC">
        <w:rPr>
          <w:rFonts w:ascii="Times New Roman" w:hAnsi="Times New Roman" w:cs="Times New Roman"/>
        </w:rPr>
        <w:t>, 2025</w:t>
      </w:r>
      <w:r w:rsidRPr="00202AEC">
        <w:rPr>
          <w:rFonts w:ascii="Times New Roman" w:hAnsi="Times New Roman" w:cs="Times New Roman"/>
        </w:rPr>
        <w:t xml:space="preserve">). </w:t>
      </w:r>
      <w:r w:rsidR="00992831" w:rsidRPr="00202AEC">
        <w:rPr>
          <w:rFonts w:ascii="Times New Roman" w:hAnsi="Times New Roman" w:cs="Times New Roman"/>
        </w:rPr>
        <w:t>De</w:t>
      </w:r>
      <w:r w:rsidRPr="00202AEC">
        <w:rPr>
          <w:rFonts w:ascii="Times New Roman" w:hAnsi="Times New Roman" w:cs="Times New Roman"/>
        </w:rPr>
        <w:t xml:space="preserve"> ces facteurs cognitifs influençant l’apprentissage d’une langue étrangère </w:t>
      </w:r>
      <w:r w:rsidR="00992831" w:rsidRPr="00202AEC">
        <w:rPr>
          <w:rFonts w:ascii="Times New Roman" w:hAnsi="Times New Roman" w:cs="Times New Roman"/>
        </w:rPr>
        <w:t xml:space="preserve">relève plus largement </w:t>
      </w:r>
      <w:r w:rsidRPr="00202AEC">
        <w:rPr>
          <w:rFonts w:ascii="Times New Roman" w:hAnsi="Times New Roman" w:cs="Times New Roman"/>
        </w:rPr>
        <w:t xml:space="preserve">le concept </w:t>
      </w:r>
      <w:r w:rsidR="00992831" w:rsidRPr="00202AEC">
        <w:rPr>
          <w:rFonts w:ascii="Times New Roman" w:hAnsi="Times New Roman" w:cs="Times New Roman"/>
        </w:rPr>
        <w:t>« </w:t>
      </w:r>
      <w:r w:rsidRPr="00202AEC">
        <w:rPr>
          <w:rFonts w:ascii="Times New Roman" w:hAnsi="Times New Roman" w:cs="Times New Roman"/>
        </w:rPr>
        <w:t>d’aptitude</w:t>
      </w:r>
      <w:r w:rsidR="00992831" w:rsidRPr="00202AEC">
        <w:rPr>
          <w:rFonts w:ascii="Times New Roman" w:hAnsi="Times New Roman" w:cs="Times New Roman"/>
        </w:rPr>
        <w:t> » en L2</w:t>
      </w:r>
      <w:r w:rsidRPr="00202AEC">
        <w:rPr>
          <w:rFonts w:ascii="Times New Roman" w:hAnsi="Times New Roman" w:cs="Times New Roman"/>
        </w:rPr>
        <w:t xml:space="preserve"> (DeKeyser &amp; Koeth, 2011</w:t>
      </w:r>
      <w:r w:rsidR="00BC5DE7" w:rsidRPr="00202AEC">
        <w:rPr>
          <w:rFonts w:ascii="Times New Roman" w:hAnsi="Times New Roman" w:cs="Times New Roman"/>
        </w:rPr>
        <w:t> </w:t>
      </w:r>
      <w:r w:rsidRPr="00202AEC">
        <w:rPr>
          <w:rFonts w:ascii="Times New Roman" w:hAnsi="Times New Roman" w:cs="Times New Roman"/>
        </w:rPr>
        <w:t xml:space="preserve">; </w:t>
      </w:r>
      <w:r w:rsidR="005D25DE" w:rsidRPr="00202AEC">
        <w:rPr>
          <w:rFonts w:ascii="Times New Roman" w:hAnsi="Times New Roman" w:cs="Times New Roman"/>
        </w:rPr>
        <w:t xml:space="preserve">Pfenninger et al., 2023 ; </w:t>
      </w:r>
      <w:r w:rsidRPr="00202AEC">
        <w:rPr>
          <w:rFonts w:ascii="Times New Roman" w:hAnsi="Times New Roman" w:cs="Times New Roman"/>
        </w:rPr>
        <w:t xml:space="preserve">Robinson, 2012). L’aptitude en L2 se réfère généralement à un </w:t>
      </w:r>
      <w:r w:rsidR="000279EA">
        <w:rPr>
          <w:rFonts w:ascii="Times New Roman" w:hAnsi="Times New Roman" w:cs="Times New Roman"/>
        </w:rPr>
        <w:t>« </w:t>
      </w:r>
      <w:r w:rsidRPr="00202AEC">
        <w:rPr>
          <w:rFonts w:ascii="Times New Roman" w:hAnsi="Times New Roman" w:cs="Times New Roman"/>
        </w:rPr>
        <w:t>talent</w:t>
      </w:r>
      <w:r w:rsidR="000279EA">
        <w:rPr>
          <w:rFonts w:ascii="Times New Roman" w:hAnsi="Times New Roman" w:cs="Times New Roman"/>
        </w:rPr>
        <w:t xml:space="preserve"> » </w:t>
      </w:r>
      <w:r w:rsidRPr="00202AEC">
        <w:rPr>
          <w:rFonts w:ascii="Times New Roman" w:hAnsi="Times New Roman" w:cs="Times New Roman"/>
        </w:rPr>
        <w:t>spécifique pour acquérir une langue étrangère ou seconde (Bui et al., 2018</w:t>
      </w:r>
      <w:r w:rsidR="00BC5DE7" w:rsidRPr="00202AEC">
        <w:rPr>
          <w:rFonts w:ascii="Times New Roman" w:hAnsi="Times New Roman" w:cs="Times New Roman"/>
        </w:rPr>
        <w:t> </w:t>
      </w:r>
      <w:r w:rsidRPr="00202AEC">
        <w:rPr>
          <w:rFonts w:ascii="Times New Roman" w:hAnsi="Times New Roman" w:cs="Times New Roman"/>
        </w:rPr>
        <w:t>; Skehan, 2012</w:t>
      </w:r>
      <w:r w:rsidR="00BC5DE7" w:rsidRPr="00202AEC">
        <w:rPr>
          <w:rFonts w:ascii="Times New Roman" w:hAnsi="Times New Roman" w:cs="Times New Roman"/>
        </w:rPr>
        <w:t> </w:t>
      </w:r>
      <w:r w:rsidRPr="00202AEC">
        <w:rPr>
          <w:rFonts w:ascii="Times New Roman" w:hAnsi="Times New Roman" w:cs="Times New Roman"/>
        </w:rPr>
        <w:t xml:space="preserve">; Wen et al., 2017). Selon certains chercheurs </w:t>
      </w:r>
      <w:r w:rsidR="009105AF" w:rsidRPr="00202AEC">
        <w:rPr>
          <w:rFonts w:ascii="Times New Roman" w:hAnsi="Times New Roman" w:cs="Times New Roman"/>
          <w:lang w:val="fr-BE"/>
        </w:rPr>
        <w:t>(</w:t>
      </w:r>
      <w:r w:rsidRPr="00202AEC">
        <w:rPr>
          <w:rFonts w:ascii="Times New Roman" w:hAnsi="Times New Roman" w:cs="Times New Roman"/>
          <w:lang w:val="fr-BE"/>
        </w:rPr>
        <w:t>Jilka et al.</w:t>
      </w:r>
      <w:r w:rsidR="009105AF" w:rsidRPr="00202AEC">
        <w:rPr>
          <w:rFonts w:ascii="Times New Roman" w:hAnsi="Times New Roman" w:cs="Times New Roman"/>
          <w:lang w:val="fr-BE"/>
        </w:rPr>
        <w:t xml:space="preserve">, </w:t>
      </w:r>
      <w:r w:rsidRPr="00202AEC">
        <w:rPr>
          <w:rFonts w:ascii="Times New Roman" w:hAnsi="Times New Roman" w:cs="Times New Roman"/>
          <w:lang w:val="fr-BE"/>
        </w:rPr>
        <w:t>2007,</w:t>
      </w:r>
      <w:r w:rsidR="00BC5DE7" w:rsidRPr="00202AEC">
        <w:rPr>
          <w:rFonts w:ascii="Times New Roman" w:hAnsi="Times New Roman" w:cs="Times New Roman"/>
          <w:lang w:val="fr-BE"/>
        </w:rPr>
        <w:t xml:space="preserve"> </w:t>
      </w:r>
      <w:r w:rsidRPr="00202AEC">
        <w:rPr>
          <w:rFonts w:ascii="Times New Roman" w:hAnsi="Times New Roman" w:cs="Times New Roman"/>
          <w:lang w:val="fr-BE"/>
        </w:rPr>
        <w:t>2009</w:t>
      </w:r>
      <w:r w:rsidR="009105AF" w:rsidRPr="00202AEC">
        <w:rPr>
          <w:rFonts w:ascii="Times New Roman" w:hAnsi="Times New Roman" w:cs="Times New Roman"/>
          <w:lang w:val="fr-BE"/>
        </w:rPr>
        <w:t> ; Wen</w:t>
      </w:r>
      <w:r w:rsidR="00C94B7E" w:rsidRPr="00202AEC">
        <w:rPr>
          <w:rFonts w:ascii="Times New Roman" w:hAnsi="Times New Roman" w:cs="Times New Roman"/>
          <w:lang w:val="fr-BE"/>
        </w:rPr>
        <w:t xml:space="preserve"> et al.,</w:t>
      </w:r>
      <w:r w:rsidR="009105AF" w:rsidRPr="00202AEC">
        <w:rPr>
          <w:rFonts w:ascii="Times New Roman" w:hAnsi="Times New Roman" w:cs="Times New Roman"/>
          <w:lang w:val="fr-BE"/>
        </w:rPr>
        <w:t xml:space="preserve"> 2022</w:t>
      </w:r>
      <w:r w:rsidRPr="00202AEC">
        <w:rPr>
          <w:rFonts w:ascii="Times New Roman" w:hAnsi="Times New Roman" w:cs="Times New Roman"/>
          <w:lang w:val="fr-BE"/>
        </w:rPr>
        <w:t>)</w:t>
      </w:r>
      <w:r w:rsidRPr="00202AEC">
        <w:rPr>
          <w:rFonts w:ascii="Times New Roman" w:hAnsi="Times New Roman" w:cs="Times New Roman"/>
        </w:rPr>
        <w:t>, l’aptitude à l’apprentissage d’une langue étrangère est l’état initial d’un individu prêt et capable d’apprendre une nouvelle langue. Ils considèrent le talent comme une forme de capacité relativement stable et résistante à l’entra</w:t>
      </w:r>
      <w:r w:rsidR="00944AEB">
        <w:rPr>
          <w:rFonts w:ascii="Times New Roman" w:hAnsi="Times New Roman" w:cs="Times New Roman"/>
        </w:rPr>
        <w:t>î</w:t>
      </w:r>
      <w:r w:rsidRPr="00202AEC">
        <w:rPr>
          <w:rFonts w:ascii="Times New Roman" w:hAnsi="Times New Roman" w:cs="Times New Roman"/>
        </w:rPr>
        <w:t>nement, voire innée, mais qui</w:t>
      </w:r>
      <w:r w:rsidR="00944AEB">
        <w:rPr>
          <w:rFonts w:ascii="Times New Roman" w:hAnsi="Times New Roman" w:cs="Times New Roman"/>
        </w:rPr>
        <w:t xml:space="preserve">, </w:t>
      </w:r>
      <w:r w:rsidRPr="00202AEC">
        <w:rPr>
          <w:rFonts w:ascii="Times New Roman" w:hAnsi="Times New Roman" w:cs="Times New Roman"/>
        </w:rPr>
        <w:t>en interagissant avec d’autres variables</w:t>
      </w:r>
      <w:r w:rsidR="00944AEB">
        <w:rPr>
          <w:rFonts w:ascii="Times New Roman" w:hAnsi="Times New Roman" w:cs="Times New Roman"/>
        </w:rPr>
        <w:t>,</w:t>
      </w:r>
      <w:r w:rsidRPr="00202AEC">
        <w:rPr>
          <w:rFonts w:ascii="Times New Roman" w:hAnsi="Times New Roman" w:cs="Times New Roman"/>
        </w:rPr>
        <w:t xml:space="preserve"> permettrait le développement linguistique de chaque individu (Lewandowski &amp; Jilka, 2019). </w:t>
      </w:r>
      <w:r w:rsidRPr="00E12107">
        <w:rPr>
          <w:rFonts w:ascii="Times New Roman" w:hAnsi="Times New Roman" w:cs="Times New Roman"/>
        </w:rPr>
        <w:t>Cependant, pour Gagné (2003), il serait nécessaire de distinguer le «</w:t>
      </w:r>
      <w:r w:rsidR="00BC5DE7" w:rsidRPr="00E12107">
        <w:rPr>
          <w:rFonts w:ascii="Times New Roman" w:hAnsi="Times New Roman" w:cs="Times New Roman"/>
        </w:rPr>
        <w:t> </w:t>
      </w:r>
      <w:r w:rsidRPr="00655A8D">
        <w:rPr>
          <w:rFonts w:ascii="Times New Roman" w:hAnsi="Times New Roman" w:cs="Times New Roman"/>
        </w:rPr>
        <w:t>don</w:t>
      </w:r>
      <w:r w:rsidR="00BC5DE7" w:rsidRPr="00A8700C">
        <w:rPr>
          <w:rFonts w:ascii="Times New Roman" w:hAnsi="Times New Roman" w:cs="Times New Roman"/>
        </w:rPr>
        <w:t> </w:t>
      </w:r>
      <w:r w:rsidRPr="00D463C5">
        <w:rPr>
          <w:rFonts w:ascii="Times New Roman" w:hAnsi="Times New Roman" w:cs="Times New Roman"/>
        </w:rPr>
        <w:t>» (désigné comme</w:t>
      </w:r>
      <w:r w:rsidR="00FF5764" w:rsidRPr="00D463C5">
        <w:rPr>
          <w:rFonts w:ascii="Times New Roman" w:hAnsi="Times New Roman" w:cs="Times New Roman"/>
        </w:rPr>
        <w:t xml:space="preserve"> </w:t>
      </w:r>
      <w:r w:rsidRPr="00D463C5">
        <w:rPr>
          <w:rFonts w:ascii="Times New Roman" w:hAnsi="Times New Roman" w:cs="Times New Roman"/>
        </w:rPr>
        <w:t>«</w:t>
      </w:r>
      <w:r w:rsidR="00BC5DE7" w:rsidRPr="00D463C5">
        <w:rPr>
          <w:rFonts w:ascii="Times New Roman" w:hAnsi="Times New Roman" w:cs="Times New Roman"/>
        </w:rPr>
        <w:t> </w:t>
      </w:r>
      <w:r w:rsidRPr="00D463C5">
        <w:rPr>
          <w:rFonts w:ascii="Times New Roman" w:hAnsi="Times New Roman" w:cs="Times New Roman"/>
        </w:rPr>
        <w:t>talent</w:t>
      </w:r>
      <w:r w:rsidR="00BC5DE7" w:rsidRPr="00D463C5">
        <w:rPr>
          <w:rFonts w:ascii="Times New Roman" w:hAnsi="Times New Roman" w:cs="Times New Roman"/>
        </w:rPr>
        <w:t> </w:t>
      </w:r>
      <w:r w:rsidRPr="00D463C5">
        <w:rPr>
          <w:rFonts w:ascii="Times New Roman" w:hAnsi="Times New Roman" w:cs="Times New Roman"/>
        </w:rPr>
        <w:t>» par Jilka et ses collaborateurs) du «</w:t>
      </w:r>
      <w:r w:rsidR="00BC5DE7" w:rsidRPr="00D463C5">
        <w:rPr>
          <w:rFonts w:ascii="Times New Roman" w:hAnsi="Times New Roman" w:cs="Times New Roman"/>
        </w:rPr>
        <w:t> </w:t>
      </w:r>
      <w:r w:rsidRPr="00D463C5">
        <w:rPr>
          <w:rFonts w:ascii="Times New Roman" w:hAnsi="Times New Roman" w:cs="Times New Roman"/>
        </w:rPr>
        <w:t>talent</w:t>
      </w:r>
      <w:r w:rsidR="00BC5DE7" w:rsidRPr="00D463C5">
        <w:rPr>
          <w:rFonts w:ascii="Times New Roman" w:hAnsi="Times New Roman" w:cs="Times New Roman"/>
        </w:rPr>
        <w:t> </w:t>
      </w:r>
      <w:r w:rsidRPr="00D463C5">
        <w:rPr>
          <w:rFonts w:ascii="Times New Roman" w:hAnsi="Times New Roman" w:cs="Times New Roman"/>
        </w:rPr>
        <w:t>» véritable, qui résulterait de l’aptitude initiale qui aurait été entra</w:t>
      </w:r>
      <w:r w:rsidR="00380E3A" w:rsidRPr="00D463C5">
        <w:rPr>
          <w:rFonts w:ascii="Times New Roman" w:hAnsi="Times New Roman" w:cs="Times New Roman"/>
        </w:rPr>
        <w:t>î</w:t>
      </w:r>
      <w:r w:rsidRPr="00D463C5">
        <w:rPr>
          <w:rFonts w:ascii="Times New Roman" w:hAnsi="Times New Roman" w:cs="Times New Roman"/>
        </w:rPr>
        <w:t xml:space="preserve">née et développée. </w:t>
      </w:r>
    </w:p>
    <w:p w14:paraId="72388B69" w14:textId="1FBECFD4" w:rsidR="00127037" w:rsidRPr="00D463C5" w:rsidRDefault="00AA2120" w:rsidP="00D463C5">
      <w:pPr>
        <w:spacing w:line="360" w:lineRule="auto"/>
        <w:contextualSpacing/>
        <w:jc w:val="both"/>
      </w:pPr>
      <w:r w:rsidRPr="00D463C5">
        <w:t>C’est dans ce cadre théorique que s’inscrit le concept de «</w:t>
      </w:r>
      <w:r w:rsidR="00BC5DE7" w:rsidRPr="00D463C5">
        <w:t> </w:t>
      </w:r>
      <w:r w:rsidRPr="00D463C5">
        <w:t>compliance phonique</w:t>
      </w:r>
      <w:r w:rsidR="00BC5DE7" w:rsidRPr="00D463C5">
        <w:t> </w:t>
      </w:r>
      <w:r w:rsidRPr="00D463C5">
        <w:t>», proposé par Delvaux</w:t>
      </w:r>
      <w:r w:rsidR="00A63B24" w:rsidRPr="00D463C5">
        <w:t xml:space="preserve"> et al. </w:t>
      </w:r>
      <w:r w:rsidRPr="00D463C5">
        <w:t xml:space="preserve">(2008, 2014). Cette notion </w:t>
      </w:r>
      <w:r w:rsidR="00A8700C">
        <w:t>« </w:t>
      </w:r>
      <w:r w:rsidRPr="00A8700C">
        <w:t>désigne la capacité intrinsèque d’un locuteur à percevoir et à produire des sons de parole inhabituels dans sa langue maternelle</w:t>
      </w:r>
      <w:r w:rsidR="00A8700C">
        <w:t> »</w:t>
      </w:r>
      <w:r w:rsidR="000A603A" w:rsidRPr="00A8700C">
        <w:t xml:space="preserve"> (Delvaux et al., 20</w:t>
      </w:r>
      <w:r w:rsidR="00C25983" w:rsidRPr="00A8700C">
        <w:t>1</w:t>
      </w:r>
      <w:r w:rsidR="000A603A" w:rsidRPr="00D463C5">
        <w:t>4, notre traduction)</w:t>
      </w:r>
      <w:r w:rsidRPr="00D463C5">
        <w:t xml:space="preserve">, </w:t>
      </w:r>
      <w:r w:rsidR="00251369" w:rsidRPr="00D463C5">
        <w:t xml:space="preserve">et </w:t>
      </w:r>
      <w:r w:rsidR="0003368C" w:rsidRPr="00D463C5">
        <w:t xml:space="preserve">elle </w:t>
      </w:r>
      <w:r w:rsidR="00251369" w:rsidRPr="00D463C5">
        <w:t>est associée à une tâche spécifique, en l’occurrence la reproduction d’un modèle sonore (variante phonétique) non familier en L1. Il s’agit donc d’un concept défini par son opérationnalisation via une tâche expérimentale, qui permet de dépasser le débat sur l’inné et l’acquis, car au-delà de la notion d’aptitude</w:t>
      </w:r>
      <w:r w:rsidR="00C01358" w:rsidRPr="00D463C5">
        <w:t xml:space="preserve"> (don, talent, douance, etc.)</w:t>
      </w:r>
      <w:r w:rsidR="00251369" w:rsidRPr="00D463C5">
        <w:t>, il se concentre sur les performances effectives de l’individu dans un contexte certes contrôlé</w:t>
      </w:r>
      <w:r w:rsidR="0003368C" w:rsidRPr="00D463C5">
        <w:t>,</w:t>
      </w:r>
      <w:r w:rsidR="00251369" w:rsidRPr="00D463C5">
        <w:t xml:space="preserve"> mais </w:t>
      </w:r>
      <w:r w:rsidR="0003368C" w:rsidRPr="00D463C5">
        <w:t>mobilisant</w:t>
      </w:r>
      <w:r w:rsidR="00251369" w:rsidRPr="00D463C5">
        <w:t xml:space="preserve"> des processus et stratégies </w:t>
      </w:r>
      <w:r w:rsidR="00C01358" w:rsidRPr="00D463C5">
        <w:t xml:space="preserve">supposés </w:t>
      </w:r>
      <w:r w:rsidR="00251369" w:rsidRPr="00D463C5">
        <w:t>similaires à ce</w:t>
      </w:r>
      <w:r w:rsidR="00C01358" w:rsidRPr="00D463C5">
        <w:t>ux</w:t>
      </w:r>
      <w:r w:rsidR="00251369" w:rsidRPr="00D463C5">
        <w:t xml:space="preserve"> qu’il lui faudrait déployer lors de l’acquisition de nouvelles variantes phonétiques dans une langue étrangère.</w:t>
      </w:r>
      <w:r w:rsidR="00E12107">
        <w:t xml:space="preserve"> </w:t>
      </w:r>
      <w:r w:rsidR="00127037" w:rsidRPr="00D463C5">
        <w:t>Au sens strict, dans la mesure où la notion de compliance phonique est définie d’emblée en termes opérationnels, le concept se trouve délimité par le protocole mis en œuvre pour en assurer la mesure, dans une logique proche des approches psychométriques. Le lecteur est ainsi renvoyé à la description détaillée des tâches présentée ci-après, afin d’en préciser les modalités et les contours. Bien que la compliance phonique désigne, de manière générale, la capacité d’un individu à percevoir et à produire des sons de parole, sa portée doit donc être comprise à l’aune du dispositif expérimental qui en permet l’observation.</w:t>
      </w:r>
    </w:p>
    <w:p w14:paraId="41171AE5" w14:textId="4DCD89F8" w:rsidR="00355257" w:rsidRPr="00E12107" w:rsidRDefault="00127037" w:rsidP="00D463C5">
      <w:pPr>
        <w:spacing w:line="360" w:lineRule="auto"/>
        <w:contextualSpacing/>
        <w:jc w:val="both"/>
      </w:pPr>
      <w:r w:rsidRPr="00D463C5">
        <w:t>Dans une perspective didactique, cette notion permet toutefois d’éclairer de manière particulièrement pertinente les différences interindividuelles observées dans l’apprentissage de la prononciation en langue étrangère. En contexte d’enseignement, il n’est pas rare de constater qu’au sein d’un même groupe-classe, des apprenants exposés à des conditions d’apprentissage comparables présentent des trajectoires très contrastées</w:t>
      </w:r>
      <w:r w:rsidR="00E12107">
        <w:t xml:space="preserve"> : </w:t>
      </w:r>
      <w:r w:rsidRPr="00D463C5">
        <w:t xml:space="preserve">certains parviennent rapidement à </w:t>
      </w:r>
      <w:r w:rsidRPr="00D463C5">
        <w:lastRenderedPageBreak/>
        <w:t>ajuster leurs productions à de nouvelles catégories phonétiques, tandis que d’autres rencontrent des difficultés persistantes, malgré un encadrement identique.</w:t>
      </w:r>
      <w:r w:rsidR="00655A8D">
        <w:t xml:space="preserve"> </w:t>
      </w:r>
      <w:r w:rsidRPr="00D463C5">
        <w:t>Ces écarts peuvent s’expliquer, en partie, par des différences dans les ressources initiales mobilisées pour traiter les contrastes phonétiques non familiers, qu’il s’agisse de capacités perceptives, de stabilité des productions ou encore du degré d’influence des catégories de la langue maternelle</w:t>
      </w:r>
      <w:r w:rsidR="00513A16">
        <w:t xml:space="preserve"> (Lewandowski &amp; Jilka, 2019 ; Saito, 2021 ; Saito et al., 2023)</w:t>
      </w:r>
      <w:r w:rsidRPr="00D463C5">
        <w:t>. Dans cette perspective, la compliance phonique peut être envisagée comme un indicateur permettant de mieux appréhender cette variabilité.</w:t>
      </w:r>
      <w:r w:rsidR="00655A8D">
        <w:t xml:space="preserve"> </w:t>
      </w:r>
      <w:r w:rsidRPr="00D463C5">
        <w:t>Une telle approche invite à repenser les modalités d’intervention pédagogique en phonétique, en soulignant la nécessité d’une adaptation fine des dispositifs aux caractéristiques des individus. En effet, face à des apprenants présentant des configurations initiales hétérogènes, l’enseignant est amené à ajuster ses stratégies</w:t>
      </w:r>
      <w:r w:rsidR="00FD5DD1" w:rsidRPr="00D463C5">
        <w:t xml:space="preserve"> </w:t>
      </w:r>
      <w:r w:rsidRPr="00D463C5">
        <w:t>sans toujours disposer, en amont, d’indices explicites sur la manière dont chaque apprenant répondra à l’intervention proposée.</w:t>
      </w:r>
      <w:r w:rsidR="00655A8D">
        <w:t xml:space="preserve"> </w:t>
      </w:r>
      <w:r w:rsidR="00355257" w:rsidRPr="00D463C5">
        <w:t xml:space="preserve">Ainsi, loin de constituer un simple descripteur des performances, la compliance phonique ouvre des perspectives pour une didactique de la prononciation plus sensible à la variabilité interindividuelle, en offrant des pistes pour mieux comprendre et, à terme, mieux prendre en compte les différences observées dans les processus d’apprentissage. Cette perspective conduit dès lors à interroger plus directement la manière dont ces différences sont appréhendées et mesurées dans les recherches en </w:t>
      </w:r>
      <w:r w:rsidR="00E12107" w:rsidRPr="00E12107">
        <w:t xml:space="preserve">enseignement de la prononciation. </w:t>
      </w:r>
      <w:r w:rsidR="00355257" w:rsidRPr="00D463C5">
        <w:t xml:space="preserve"> </w:t>
      </w:r>
    </w:p>
    <w:p w14:paraId="687C310E" w14:textId="302E5080" w:rsidR="00251369" w:rsidRPr="00202AEC" w:rsidRDefault="00251369" w:rsidP="00D463C5">
      <w:pPr>
        <w:pStyle w:val="CorpsA"/>
        <w:widowControl w:val="0"/>
        <w:spacing w:line="360" w:lineRule="auto"/>
        <w:contextualSpacing/>
        <w:jc w:val="both"/>
        <w:rPr>
          <w:rFonts w:ascii="Times New Roman" w:hAnsi="Times New Roman" w:cs="Times New Roman"/>
        </w:rPr>
      </w:pPr>
      <w:r w:rsidRPr="00E12107">
        <w:rPr>
          <w:rFonts w:ascii="Times New Roman" w:hAnsi="Times New Roman" w:cs="Times New Roman"/>
        </w:rPr>
        <w:t>Force est de constater que si l’aptitude phonétique est</w:t>
      </w:r>
      <w:r w:rsidRPr="00655A8D">
        <w:rPr>
          <w:rFonts w:ascii="Times New Roman" w:hAnsi="Times New Roman" w:cs="Times New Roman"/>
        </w:rPr>
        <w:t xml:space="preserve"> souvent convoquée </w:t>
      </w:r>
      <w:r w:rsidRPr="001B264F">
        <w:rPr>
          <w:rFonts w:ascii="Times New Roman" w:hAnsi="Times New Roman" w:cs="Times New Roman"/>
        </w:rPr>
        <w:t>a posteriori</w:t>
      </w:r>
      <w:r w:rsidRPr="00802E99">
        <w:rPr>
          <w:rFonts w:ascii="Times New Roman" w:hAnsi="Times New Roman" w:cs="Times New Roman"/>
        </w:rPr>
        <w:t xml:space="preserve"> pour expliquer les différences individuelles dans l’</w:t>
      </w:r>
      <w:r w:rsidR="001611F5" w:rsidRPr="003C7B65">
        <w:rPr>
          <w:rFonts w:ascii="Times New Roman" w:hAnsi="Times New Roman" w:cs="Times New Roman"/>
        </w:rPr>
        <w:t xml:space="preserve">apprentissage </w:t>
      </w:r>
      <w:r w:rsidRPr="00D463C5">
        <w:rPr>
          <w:rFonts w:ascii="Times New Roman" w:hAnsi="Times New Roman" w:cs="Times New Roman"/>
        </w:rPr>
        <w:t>des sons d’une L2, elle n’est</w:t>
      </w:r>
      <w:r w:rsidR="00DC4153" w:rsidRPr="00D463C5">
        <w:rPr>
          <w:rFonts w:ascii="Times New Roman" w:hAnsi="Times New Roman" w:cs="Times New Roman"/>
        </w:rPr>
        <w:t>,</w:t>
      </w:r>
      <w:r w:rsidRPr="00D463C5">
        <w:rPr>
          <w:rFonts w:ascii="Times New Roman" w:hAnsi="Times New Roman" w:cs="Times New Roman"/>
        </w:rPr>
        <w:t xml:space="preserve"> dans les faits</w:t>
      </w:r>
      <w:r w:rsidR="00DC4153" w:rsidRPr="00D463C5">
        <w:rPr>
          <w:rFonts w:ascii="Times New Roman" w:hAnsi="Times New Roman" w:cs="Times New Roman"/>
        </w:rPr>
        <w:t>,</w:t>
      </w:r>
      <w:r w:rsidRPr="00D463C5">
        <w:rPr>
          <w:rFonts w:ascii="Times New Roman" w:hAnsi="Times New Roman" w:cs="Times New Roman"/>
        </w:rPr>
        <w:t xml:space="preserve"> que très rarement évaluée (et </w:t>
      </w:r>
      <w:r w:rsidR="00DC4153" w:rsidRPr="00D463C5">
        <w:rPr>
          <w:rFonts w:ascii="Times New Roman" w:hAnsi="Times New Roman" w:cs="Times New Roman"/>
        </w:rPr>
        <w:t>presque jamais mesurée de manière indépendante</w:t>
      </w:r>
      <w:r w:rsidRPr="00D463C5">
        <w:rPr>
          <w:rFonts w:ascii="Times New Roman" w:hAnsi="Times New Roman" w:cs="Times New Roman"/>
        </w:rPr>
        <w:t xml:space="preserve">) dans les études en </w:t>
      </w:r>
      <w:r w:rsidR="00542994" w:rsidRPr="00D463C5">
        <w:rPr>
          <w:rFonts w:ascii="Times New Roman" w:hAnsi="Times New Roman" w:cs="Times New Roman"/>
        </w:rPr>
        <w:t>enseignement</w:t>
      </w:r>
      <w:r w:rsidR="001B6AD5" w:rsidRPr="00D463C5">
        <w:rPr>
          <w:rFonts w:ascii="Times New Roman" w:hAnsi="Times New Roman" w:cs="Times New Roman"/>
        </w:rPr>
        <w:t>-</w:t>
      </w:r>
      <w:r w:rsidR="00542994" w:rsidRPr="00D463C5">
        <w:rPr>
          <w:rFonts w:ascii="Times New Roman" w:hAnsi="Times New Roman" w:cs="Times New Roman"/>
        </w:rPr>
        <w:t xml:space="preserve">apprentissage </w:t>
      </w:r>
      <w:r w:rsidRPr="00D463C5">
        <w:rPr>
          <w:rFonts w:ascii="Times New Roman" w:hAnsi="Times New Roman" w:cs="Times New Roman"/>
        </w:rPr>
        <w:t>d</w:t>
      </w:r>
      <w:r w:rsidR="00C01358" w:rsidRPr="00D463C5">
        <w:rPr>
          <w:rFonts w:ascii="Times New Roman" w:hAnsi="Times New Roman" w:cs="Times New Roman"/>
        </w:rPr>
        <w:t>’une</w:t>
      </w:r>
      <w:r w:rsidRPr="00D463C5">
        <w:rPr>
          <w:rFonts w:ascii="Times New Roman" w:hAnsi="Times New Roman" w:cs="Times New Roman"/>
        </w:rPr>
        <w:t xml:space="preserve"> langue </w:t>
      </w:r>
      <w:r w:rsidR="00542994" w:rsidRPr="00D463C5">
        <w:rPr>
          <w:rFonts w:ascii="Times New Roman" w:hAnsi="Times New Roman" w:cs="Times New Roman"/>
        </w:rPr>
        <w:t>étrangère</w:t>
      </w:r>
      <w:r w:rsidRPr="00D463C5">
        <w:rPr>
          <w:rFonts w:ascii="Times New Roman" w:hAnsi="Times New Roman" w:cs="Times New Roman"/>
        </w:rPr>
        <w:t xml:space="preserve">. Or, en permettant de mieux </w:t>
      </w:r>
      <w:r w:rsidR="001A2476" w:rsidRPr="00D463C5">
        <w:rPr>
          <w:rFonts w:ascii="Times New Roman" w:hAnsi="Times New Roman" w:cs="Times New Roman"/>
        </w:rPr>
        <w:t xml:space="preserve">caractériser </w:t>
      </w:r>
      <w:r w:rsidRPr="00D463C5">
        <w:rPr>
          <w:rFonts w:ascii="Times New Roman" w:hAnsi="Times New Roman" w:cs="Times New Roman"/>
        </w:rPr>
        <w:t>les conditions initiales des apprenants, le dispositif de</w:t>
      </w:r>
      <w:r w:rsidR="00AA2120" w:rsidRPr="00D463C5">
        <w:rPr>
          <w:rFonts w:ascii="Times New Roman" w:hAnsi="Times New Roman" w:cs="Times New Roman"/>
        </w:rPr>
        <w:t xml:space="preserve"> compliance phonique</w:t>
      </w:r>
      <w:r w:rsidRPr="00D463C5">
        <w:rPr>
          <w:rFonts w:ascii="Times New Roman" w:hAnsi="Times New Roman" w:cs="Times New Roman"/>
        </w:rPr>
        <w:t xml:space="preserve"> élaboré par Delvaux et collaborateurs</w:t>
      </w:r>
      <w:r w:rsidR="00AA2120" w:rsidRPr="00D463C5">
        <w:rPr>
          <w:rFonts w:ascii="Times New Roman" w:hAnsi="Times New Roman" w:cs="Times New Roman"/>
        </w:rPr>
        <w:t xml:space="preserve"> </w:t>
      </w:r>
      <w:r w:rsidR="003A7EA8" w:rsidRPr="00EC24BF">
        <w:rPr>
          <w:rFonts w:ascii="Times New Roman" w:hAnsi="Times New Roman" w:cs="Times New Roman"/>
        </w:rPr>
        <w:t>(</w:t>
      </w:r>
      <w:r w:rsidR="00EC24BF" w:rsidRPr="00EC24BF">
        <w:rPr>
          <w:rFonts w:ascii="Times New Roman" w:hAnsi="Times New Roman" w:cs="Times New Roman"/>
        </w:rPr>
        <w:t>2008, 2014</w:t>
      </w:r>
      <w:r w:rsidR="003A7EA8" w:rsidRPr="00EC24BF">
        <w:rPr>
          <w:rFonts w:ascii="Times New Roman" w:hAnsi="Times New Roman" w:cs="Times New Roman"/>
        </w:rPr>
        <w:t>)</w:t>
      </w:r>
      <w:r w:rsidR="003A7EA8">
        <w:rPr>
          <w:rFonts w:ascii="Times New Roman" w:hAnsi="Times New Roman" w:cs="Times New Roman"/>
        </w:rPr>
        <w:t xml:space="preserve"> </w:t>
      </w:r>
      <w:r w:rsidR="00AA2120" w:rsidRPr="00D463C5">
        <w:rPr>
          <w:rFonts w:ascii="Times New Roman" w:hAnsi="Times New Roman" w:cs="Times New Roman"/>
        </w:rPr>
        <w:t>offre non seulement des perspectives d’analyse plus fines</w:t>
      </w:r>
      <w:r w:rsidRPr="00D463C5">
        <w:rPr>
          <w:rFonts w:ascii="Times New Roman" w:hAnsi="Times New Roman" w:cs="Times New Roman"/>
        </w:rPr>
        <w:t xml:space="preserve"> de</w:t>
      </w:r>
      <w:r w:rsidR="00DC4153" w:rsidRPr="00D463C5">
        <w:rPr>
          <w:rFonts w:ascii="Times New Roman" w:hAnsi="Times New Roman" w:cs="Times New Roman"/>
        </w:rPr>
        <w:t>s</w:t>
      </w:r>
      <w:r w:rsidRPr="00D463C5">
        <w:rPr>
          <w:rFonts w:ascii="Times New Roman" w:hAnsi="Times New Roman" w:cs="Times New Roman"/>
        </w:rPr>
        <w:t xml:space="preserve"> résultats expérimentaux obtenus auprès de di</w:t>
      </w:r>
      <w:r w:rsidR="00C01358" w:rsidRPr="00D463C5">
        <w:rPr>
          <w:rFonts w:ascii="Times New Roman" w:hAnsi="Times New Roman" w:cs="Times New Roman"/>
        </w:rPr>
        <w:t>fférent</w:t>
      </w:r>
      <w:r w:rsidRPr="00D463C5">
        <w:rPr>
          <w:rFonts w:ascii="Times New Roman" w:hAnsi="Times New Roman" w:cs="Times New Roman"/>
        </w:rPr>
        <w:t>s</w:t>
      </w:r>
      <w:r w:rsidR="00C01358" w:rsidRPr="00D463C5">
        <w:rPr>
          <w:rFonts w:ascii="Times New Roman" w:hAnsi="Times New Roman" w:cs="Times New Roman"/>
        </w:rPr>
        <w:t xml:space="preserve"> </w:t>
      </w:r>
      <w:r w:rsidRPr="00D463C5">
        <w:rPr>
          <w:rFonts w:ascii="Times New Roman" w:hAnsi="Times New Roman" w:cs="Times New Roman"/>
        </w:rPr>
        <w:t>apprenants</w:t>
      </w:r>
      <w:r w:rsidR="00AA2120" w:rsidRPr="00D463C5">
        <w:rPr>
          <w:rFonts w:ascii="Times New Roman" w:hAnsi="Times New Roman" w:cs="Times New Roman"/>
        </w:rPr>
        <w:t xml:space="preserve">, mais </w:t>
      </w:r>
      <w:r w:rsidR="00DC4153" w:rsidRPr="00D463C5">
        <w:rPr>
          <w:rFonts w:ascii="Times New Roman" w:hAnsi="Times New Roman" w:cs="Times New Roman"/>
        </w:rPr>
        <w:t xml:space="preserve">il </w:t>
      </w:r>
      <w:r w:rsidRPr="00D463C5">
        <w:rPr>
          <w:rFonts w:ascii="Times New Roman" w:hAnsi="Times New Roman" w:cs="Times New Roman"/>
        </w:rPr>
        <w:t xml:space="preserve">peut également </w:t>
      </w:r>
      <w:r w:rsidR="00AA2120" w:rsidRPr="00D463C5">
        <w:rPr>
          <w:rFonts w:ascii="Times New Roman" w:hAnsi="Times New Roman" w:cs="Times New Roman"/>
        </w:rPr>
        <w:t>contribue</w:t>
      </w:r>
      <w:r w:rsidRPr="00D463C5">
        <w:rPr>
          <w:rFonts w:ascii="Times New Roman" w:hAnsi="Times New Roman" w:cs="Times New Roman"/>
        </w:rPr>
        <w:t>r</w:t>
      </w:r>
      <w:r w:rsidR="00AA2120" w:rsidRPr="00D463C5">
        <w:rPr>
          <w:rFonts w:ascii="Times New Roman" w:hAnsi="Times New Roman" w:cs="Times New Roman"/>
        </w:rPr>
        <w:t xml:space="preserve"> à nourrir la réflexion sur la mise en œuvre de stratégies pédagogiques différenciées en</w:t>
      </w:r>
      <w:r w:rsidR="00A7160A" w:rsidRPr="00D463C5">
        <w:rPr>
          <w:rFonts w:ascii="Times New Roman" w:hAnsi="Times New Roman" w:cs="Times New Roman"/>
        </w:rPr>
        <w:t xml:space="preserve"> enseignement de la prononciation</w:t>
      </w:r>
      <w:r w:rsidR="00AA2120" w:rsidRPr="00D463C5">
        <w:rPr>
          <w:rFonts w:ascii="Times New Roman" w:hAnsi="Times New Roman" w:cs="Times New Roman"/>
        </w:rPr>
        <w:t xml:space="preserve">. L’étude présentée ici </w:t>
      </w:r>
      <w:r w:rsidRPr="00D463C5">
        <w:rPr>
          <w:rFonts w:ascii="Times New Roman" w:hAnsi="Times New Roman" w:cs="Times New Roman"/>
        </w:rPr>
        <w:t xml:space="preserve">constitue une première </w:t>
      </w:r>
      <w:r w:rsidR="00AA538B" w:rsidRPr="00D463C5">
        <w:rPr>
          <w:rFonts w:ascii="Times New Roman" w:hAnsi="Times New Roman" w:cs="Times New Roman"/>
        </w:rPr>
        <w:t>application</w:t>
      </w:r>
      <w:r w:rsidRPr="00D463C5">
        <w:rPr>
          <w:rFonts w:ascii="Times New Roman" w:hAnsi="Times New Roman" w:cs="Times New Roman"/>
        </w:rPr>
        <w:t xml:space="preserve"> à grande échelle du paradigme de compliance phonique</w:t>
      </w:r>
      <w:r w:rsidR="00C01358" w:rsidRPr="00D463C5">
        <w:rPr>
          <w:rFonts w:ascii="Times New Roman" w:hAnsi="Times New Roman" w:cs="Times New Roman"/>
        </w:rPr>
        <w:t xml:space="preserve"> </w:t>
      </w:r>
      <w:r w:rsidRPr="00D463C5">
        <w:rPr>
          <w:rFonts w:ascii="Times New Roman" w:hAnsi="Times New Roman" w:cs="Times New Roman"/>
        </w:rPr>
        <w:t>sur un large échantillon d’adultes hispanophones</w:t>
      </w:r>
      <w:r w:rsidR="00C01358" w:rsidRPr="00D463C5">
        <w:rPr>
          <w:rFonts w:ascii="Times New Roman" w:hAnsi="Times New Roman" w:cs="Times New Roman"/>
        </w:rPr>
        <w:t xml:space="preserve"> n’ayant eu que</w:t>
      </w:r>
      <w:r w:rsidR="00C01358" w:rsidRPr="00202AEC">
        <w:rPr>
          <w:rFonts w:ascii="Times New Roman" w:hAnsi="Times New Roman" w:cs="Times New Roman"/>
        </w:rPr>
        <w:t xml:space="preserve"> très peu d’expérience préalable avec les langues étrangères</w:t>
      </w:r>
      <w:r w:rsidRPr="00202AEC">
        <w:rPr>
          <w:rFonts w:ascii="Times New Roman" w:hAnsi="Times New Roman" w:cs="Times New Roman"/>
        </w:rPr>
        <w:t xml:space="preserve">. </w:t>
      </w:r>
    </w:p>
    <w:p w14:paraId="3E802CA8" w14:textId="77777777" w:rsidR="00AA2120" w:rsidRPr="00DD3E6E" w:rsidRDefault="00AA2120" w:rsidP="00F26883">
      <w:pPr>
        <w:snapToGrid w:val="0"/>
        <w:spacing w:line="360" w:lineRule="auto"/>
        <w:contextualSpacing/>
        <w:jc w:val="both"/>
        <w:rPr>
          <w:lang w:val="fr-FR"/>
        </w:rPr>
      </w:pPr>
    </w:p>
    <w:p w14:paraId="3A013F04" w14:textId="5287686D" w:rsidR="00D6639D" w:rsidRPr="003E54D0" w:rsidRDefault="00F36923" w:rsidP="00DF24FC">
      <w:pPr>
        <w:pStyle w:val="Paragraphedeliste"/>
        <w:numPr>
          <w:ilvl w:val="0"/>
          <w:numId w:val="1"/>
        </w:numPr>
        <w:snapToGrid w:val="0"/>
        <w:spacing w:line="360" w:lineRule="auto"/>
        <w:ind w:left="0" w:firstLine="426"/>
        <w:jc w:val="both"/>
        <w:rPr>
          <w:b/>
          <w:bCs/>
        </w:rPr>
      </w:pPr>
      <w:r w:rsidRPr="00202AEC">
        <w:rPr>
          <w:b/>
          <w:bCs/>
        </w:rPr>
        <w:t>Objectifs expérimentaux</w:t>
      </w:r>
    </w:p>
    <w:p w14:paraId="66FF389D" w14:textId="57ABBD41" w:rsidR="000C3FF1" w:rsidRDefault="00ED321F" w:rsidP="00523012">
      <w:pPr>
        <w:snapToGrid w:val="0"/>
        <w:spacing w:line="360" w:lineRule="auto"/>
        <w:contextualSpacing/>
        <w:jc w:val="both"/>
      </w:pPr>
      <w:r w:rsidRPr="00202AEC">
        <w:t xml:space="preserve">Évaluer la compliance phonique, et plus généralement l’aptitude intrinsèque des individus à </w:t>
      </w:r>
      <w:r w:rsidR="00166EFC">
        <w:t>développer des</w:t>
      </w:r>
      <w:r w:rsidRPr="00202AEC">
        <w:t xml:space="preserve"> compétences phonétiques et phonologiques en L2, </w:t>
      </w:r>
      <w:r w:rsidR="00036164" w:rsidRPr="00202AEC">
        <w:t xml:space="preserve">revêt une importance </w:t>
      </w:r>
      <w:r w:rsidR="00036164" w:rsidRPr="00202AEC">
        <w:lastRenderedPageBreak/>
        <w:t>particulière</w:t>
      </w:r>
      <w:r w:rsidRPr="00202AEC">
        <w:t xml:space="preserve"> pour </w:t>
      </w:r>
      <w:r w:rsidR="002C273A" w:rsidRPr="00202AEC">
        <w:t>la</w:t>
      </w:r>
      <w:r w:rsidRPr="00202AEC">
        <w:t xml:space="preserve"> recherche scientifique en </w:t>
      </w:r>
      <w:r w:rsidR="00E1287D">
        <w:t>enseignement</w:t>
      </w:r>
      <w:r w:rsidR="001B6AD5">
        <w:t>-</w:t>
      </w:r>
      <w:r w:rsidR="00E1287D">
        <w:t>apprentissage</w:t>
      </w:r>
      <w:r w:rsidR="00E1287D" w:rsidRPr="00202AEC">
        <w:t xml:space="preserve"> </w:t>
      </w:r>
      <w:r w:rsidRPr="00202AEC">
        <w:t xml:space="preserve">d’une langue </w:t>
      </w:r>
      <w:r w:rsidR="00E1287D">
        <w:t>étrangère</w:t>
      </w:r>
      <w:r w:rsidRPr="00202AEC">
        <w:t xml:space="preserve">. En effet, </w:t>
      </w:r>
      <w:r w:rsidR="00036164" w:rsidRPr="00202AEC">
        <w:t>cette évaluation</w:t>
      </w:r>
      <w:r w:rsidRPr="00202AEC">
        <w:t xml:space="preserve"> </w:t>
      </w:r>
      <w:r w:rsidR="00036164" w:rsidRPr="00202AEC">
        <w:t>offre un éclairage précieux sur les dynamiques d’</w:t>
      </w:r>
      <w:r w:rsidR="00F72B43">
        <w:t>apprentissage</w:t>
      </w:r>
      <w:r w:rsidR="00036164" w:rsidRPr="00202AEC">
        <w:t xml:space="preserve"> phonétique</w:t>
      </w:r>
      <w:r w:rsidRPr="00202AEC">
        <w:t xml:space="preserve"> et peut </w:t>
      </w:r>
      <w:r w:rsidR="00713764" w:rsidRPr="00202AEC">
        <w:t>cons</w:t>
      </w:r>
      <w:r w:rsidR="00256CF4" w:rsidRPr="00202AEC">
        <w:t>tit</w:t>
      </w:r>
      <w:r w:rsidR="00713764" w:rsidRPr="00202AEC">
        <w:t xml:space="preserve">uer </w:t>
      </w:r>
      <w:r w:rsidR="002C273A" w:rsidRPr="00202AEC">
        <w:t xml:space="preserve">l’un des facteurs expliquant les différences </w:t>
      </w:r>
      <w:r w:rsidRPr="00202AEC">
        <w:t xml:space="preserve">individuelles entre </w:t>
      </w:r>
      <w:r w:rsidR="00DD76BD">
        <w:t xml:space="preserve">apprenants </w:t>
      </w:r>
      <w:r w:rsidRPr="00202AEC">
        <w:t xml:space="preserve">d’un même </w:t>
      </w:r>
      <w:r w:rsidR="00713764" w:rsidRPr="00202AEC">
        <w:t>groupe</w:t>
      </w:r>
      <w:r w:rsidR="00251369" w:rsidRPr="00202AEC">
        <w:t>-classe</w:t>
      </w:r>
      <w:r w:rsidRPr="00202AEC">
        <w:t xml:space="preserve"> (</w:t>
      </w:r>
      <w:r w:rsidR="00713764" w:rsidRPr="00202AEC">
        <w:t>bénéficiant</w:t>
      </w:r>
      <w:r w:rsidRPr="00202AEC">
        <w:t xml:space="preserve"> pourtant d’une expérience comparable en L2 et soumis à un même </w:t>
      </w:r>
      <w:r w:rsidR="000702BB" w:rsidRPr="00202AEC">
        <w:t>dispositif</w:t>
      </w:r>
      <w:r w:rsidRPr="00202AEC">
        <w:t xml:space="preserve"> d’</w:t>
      </w:r>
      <w:r w:rsidR="000702BB" w:rsidRPr="00202AEC">
        <w:t>enseignement</w:t>
      </w:r>
      <w:r w:rsidRPr="00202AEC">
        <w:t xml:space="preserve">). </w:t>
      </w:r>
      <w:r w:rsidR="00112BCC" w:rsidRPr="00202AEC">
        <w:t xml:space="preserve">Mieux comprendre la diversité des profils d’apprenants, en particulier leur aisance ou leurs difficultés à percevoir et à reproduire des sons non familiers, permettrait d’envisager </w:t>
      </w:r>
      <w:r w:rsidR="00112BCC" w:rsidRPr="00AA5F4A">
        <w:t>une pédagogie différenciée</w:t>
      </w:r>
      <w:r w:rsidR="00EA1E20" w:rsidRPr="00AA5F4A">
        <w:t>,</w:t>
      </w:r>
      <w:r w:rsidR="00112BCC" w:rsidRPr="00202AEC">
        <w:t xml:space="preserve"> adaptée aux caractéristiques initiales des </w:t>
      </w:r>
      <w:r w:rsidR="00446BA8">
        <w:t>apprenants</w:t>
      </w:r>
      <w:r w:rsidR="00112BCC" w:rsidRPr="00202AEC">
        <w:t xml:space="preserve">. L’identification de </w:t>
      </w:r>
      <w:r w:rsidR="005B088D">
        <w:t>comportements</w:t>
      </w:r>
      <w:r w:rsidR="005B088D" w:rsidRPr="00202AEC">
        <w:t xml:space="preserve"> </w:t>
      </w:r>
      <w:r w:rsidR="00112BCC" w:rsidRPr="00202AEC">
        <w:t xml:space="preserve">distincts de compliance pourrait </w:t>
      </w:r>
      <w:r w:rsidR="000C3FF1">
        <w:t xml:space="preserve">ainsi constituer un point d’appui pour une réflexion didactique sur l’adaptation des dispositifs </w:t>
      </w:r>
      <w:r w:rsidR="00F363E5">
        <w:t>d’apprentissage</w:t>
      </w:r>
      <w:r w:rsidR="000C3FF1">
        <w:t xml:space="preserve"> phonétique, envisagés non comme des outils normatifs d’optimisation, mais comme des moyens de mieux prendre en compte </w:t>
      </w:r>
      <w:r w:rsidR="00446BA8">
        <w:t>les différences de</w:t>
      </w:r>
      <w:r w:rsidR="000C3FF1">
        <w:t xml:space="preserve"> parcours et </w:t>
      </w:r>
      <w:r w:rsidR="00446BA8">
        <w:t>l</w:t>
      </w:r>
      <w:r w:rsidR="000C3FF1">
        <w:t>es besoins des apprenants</w:t>
      </w:r>
      <w:r w:rsidR="00446BA8">
        <w:t>.</w:t>
      </w:r>
    </w:p>
    <w:p w14:paraId="423D84D1" w14:textId="24FD729A" w:rsidR="0027166A" w:rsidRPr="00202AEC" w:rsidRDefault="00ED321F" w:rsidP="00523012">
      <w:pPr>
        <w:snapToGrid w:val="0"/>
        <w:spacing w:line="360" w:lineRule="auto"/>
        <w:contextualSpacing/>
        <w:jc w:val="both"/>
      </w:pPr>
      <w:r w:rsidRPr="00202AEC">
        <w:t xml:space="preserve">Par ailleurs, la compliance phonique est </w:t>
      </w:r>
      <w:r w:rsidR="00D019D1" w:rsidRPr="00202AEC">
        <w:t xml:space="preserve">un paramètre </w:t>
      </w:r>
      <w:r w:rsidR="00D019D1" w:rsidRPr="000C3FF1">
        <w:t>essentiel</w:t>
      </w:r>
      <w:r w:rsidRPr="000C3FF1">
        <w:t xml:space="preserve"> à contrôler</w:t>
      </w:r>
      <w:r w:rsidR="00D019D1" w:rsidRPr="000C3FF1">
        <w:t xml:space="preserve"> </w:t>
      </w:r>
      <w:r w:rsidRPr="000C3FF1">
        <w:t xml:space="preserve">lorsque l’on mène des recherches </w:t>
      </w:r>
      <w:r w:rsidR="00256EF6" w:rsidRPr="000C3FF1">
        <w:t>impliquant</w:t>
      </w:r>
      <w:r w:rsidRPr="000C3FF1">
        <w:t xml:space="preserve"> plusieurs groupes </w:t>
      </w:r>
      <w:r w:rsidR="00251369" w:rsidRPr="000C3FF1">
        <w:t xml:space="preserve">expérimentaux </w:t>
      </w:r>
      <w:r w:rsidRPr="00427876">
        <w:t>supposés «</w:t>
      </w:r>
      <w:r w:rsidR="00BC5DE7" w:rsidRPr="00427876">
        <w:t> </w:t>
      </w:r>
      <w:r w:rsidRPr="00427876">
        <w:t>équivalents</w:t>
      </w:r>
      <w:r w:rsidR="00BC5DE7" w:rsidRPr="00427876">
        <w:t> </w:t>
      </w:r>
      <w:r w:rsidRPr="00427876">
        <w:t>»</w:t>
      </w:r>
      <w:r w:rsidR="00256EF6" w:rsidRPr="00427876">
        <w:t>,</w:t>
      </w:r>
      <w:r w:rsidRPr="000C3FF1">
        <w:t xml:space="preserve"> </w:t>
      </w:r>
      <w:r w:rsidR="00256EF6" w:rsidRPr="000C3FF1">
        <w:t>dans</w:t>
      </w:r>
      <w:r w:rsidR="00256EF6">
        <w:t xml:space="preserve"> le but</w:t>
      </w:r>
      <w:r w:rsidRPr="00202AEC">
        <w:t xml:space="preserve"> de comparer les effet</w:t>
      </w:r>
      <w:r w:rsidR="0057008D" w:rsidRPr="00202AEC">
        <w:t>s</w:t>
      </w:r>
      <w:r w:rsidRPr="00202AEC">
        <w:t xml:space="preserve"> de différentes interventions pédagogiques</w:t>
      </w:r>
      <w:r w:rsidRPr="009A0955">
        <w:t xml:space="preserve">. </w:t>
      </w:r>
      <w:r w:rsidR="009A0955" w:rsidRPr="009A0955">
        <w:t>C</w:t>
      </w:r>
      <w:r w:rsidR="0027166A" w:rsidRPr="009A0955">
        <w:t>ette</w:t>
      </w:r>
      <w:r w:rsidR="0027166A" w:rsidRPr="00202AEC">
        <w:t xml:space="preserve"> variable pourrait en partie </w:t>
      </w:r>
      <w:r w:rsidR="0043757E" w:rsidRPr="00202AEC">
        <w:t xml:space="preserve">expliquer </w:t>
      </w:r>
      <w:r w:rsidR="0027166A" w:rsidRPr="00202AEC">
        <w:t xml:space="preserve">la variabilité des résultats obtenus dans les études sur l’efficacité </w:t>
      </w:r>
      <w:r w:rsidR="00C01358" w:rsidRPr="00202AEC">
        <w:t xml:space="preserve">comparée </w:t>
      </w:r>
      <w:r w:rsidR="0027166A" w:rsidRPr="00202AEC">
        <w:t>des traitements en L2.</w:t>
      </w:r>
    </w:p>
    <w:p w14:paraId="1670C3BE" w14:textId="7327EBE1" w:rsidR="0043757E" w:rsidRDefault="00ED321F" w:rsidP="00523012">
      <w:pPr>
        <w:snapToGrid w:val="0"/>
        <w:spacing w:line="360" w:lineRule="auto"/>
        <w:contextualSpacing/>
        <w:jc w:val="both"/>
      </w:pPr>
      <w:r w:rsidRPr="00202AEC">
        <w:t>La recherche présentée</w:t>
      </w:r>
      <w:r w:rsidR="0057008D" w:rsidRPr="00202AEC">
        <w:t xml:space="preserve"> </w:t>
      </w:r>
      <w:r w:rsidRPr="00202AEC">
        <w:t>ici</w:t>
      </w:r>
      <w:r w:rsidR="0057008D" w:rsidRPr="00202AEC">
        <w:t xml:space="preserve"> </w:t>
      </w:r>
      <w:r w:rsidRPr="00202AEC">
        <w:t xml:space="preserve">s’inscrit précisément dans le cadre d’une étude approfondie en </w:t>
      </w:r>
      <w:r w:rsidR="00F363E5">
        <w:t>enseignement de la prononciation</w:t>
      </w:r>
      <w:r w:rsidRPr="00202AEC">
        <w:t xml:space="preserve">, </w:t>
      </w:r>
      <w:r w:rsidR="00410536" w:rsidRPr="00202AEC">
        <w:t>reposant</w:t>
      </w:r>
      <w:r w:rsidRPr="00202AEC">
        <w:t xml:space="preserve"> sur la </w:t>
      </w:r>
      <w:r w:rsidR="000702BB" w:rsidRPr="00202AEC">
        <w:t>constitution</w:t>
      </w:r>
      <w:r w:rsidRPr="00202AEC">
        <w:t xml:space="preserve"> de groupes expérimentaux notamment en ce qui concerne les aptitudes </w:t>
      </w:r>
      <w:r w:rsidR="000702BB" w:rsidRPr="00202AEC">
        <w:t>initiales</w:t>
      </w:r>
      <w:r w:rsidRPr="00202AEC">
        <w:t xml:space="preserve"> des sujets dans le </w:t>
      </w:r>
      <w:r w:rsidR="000702BB" w:rsidRPr="00202AEC">
        <w:t>traitement</w:t>
      </w:r>
      <w:r w:rsidRPr="00202AEC">
        <w:t xml:space="preserve"> de la matière phonique en langue </w:t>
      </w:r>
      <w:r w:rsidR="000702BB" w:rsidRPr="00202AEC">
        <w:t>étrangère</w:t>
      </w:r>
      <w:r w:rsidRPr="00202AEC">
        <w:t xml:space="preserve">. À cette fin, une cohorte de plus de quarante sujets </w:t>
      </w:r>
      <w:r w:rsidRPr="00451674">
        <w:t>hispanophones</w:t>
      </w:r>
      <w:r w:rsidR="0027576C" w:rsidRPr="00451674">
        <w:t>, considéré</w:t>
      </w:r>
      <w:r w:rsidR="00D019D1" w:rsidRPr="00451674">
        <w:t>e</w:t>
      </w:r>
      <w:r w:rsidR="0027576C" w:rsidRPr="00451674">
        <w:t xml:space="preserve"> </w:t>
      </w:r>
      <w:r w:rsidR="0027576C" w:rsidRPr="00202AEC">
        <w:t>comme</w:t>
      </w:r>
      <w:r w:rsidR="00FF5764">
        <w:t xml:space="preserve"> </w:t>
      </w:r>
      <w:r w:rsidRPr="00202AEC">
        <w:t>homogène</w:t>
      </w:r>
      <w:r w:rsidR="0057008D" w:rsidRPr="00202AEC">
        <w:t xml:space="preserve"> </w:t>
      </w:r>
      <w:r w:rsidR="002D7C72">
        <w:t>du point de vue de l’</w:t>
      </w:r>
      <w:r w:rsidR="0057008D" w:rsidRPr="00202AEC">
        <w:t xml:space="preserve">âge et </w:t>
      </w:r>
      <w:r w:rsidR="007E6C95">
        <w:t>de</w:t>
      </w:r>
      <w:r w:rsidR="002D7C72">
        <w:t>s</w:t>
      </w:r>
      <w:r w:rsidR="007E6C95">
        <w:t xml:space="preserve"> </w:t>
      </w:r>
      <w:r w:rsidR="0057008D" w:rsidRPr="00202AEC">
        <w:t xml:space="preserve">caractéristiques linguistiques, </w:t>
      </w:r>
      <w:r w:rsidRPr="00202AEC">
        <w:t xml:space="preserve">a été étudiée </w:t>
      </w:r>
      <w:r w:rsidR="0043757E">
        <w:t>au moyen du</w:t>
      </w:r>
      <w:r w:rsidRPr="00202AEC">
        <w:t xml:space="preserve"> dispositif de compliance phonique développé par Delvaux et al. (2014). </w:t>
      </w:r>
    </w:p>
    <w:p w14:paraId="05CCB5B1" w14:textId="5D91015C" w:rsidR="00B54B83" w:rsidRPr="00202AEC" w:rsidRDefault="00C01358" w:rsidP="00523012">
      <w:pPr>
        <w:snapToGrid w:val="0"/>
        <w:spacing w:line="360" w:lineRule="auto"/>
        <w:contextualSpacing/>
        <w:jc w:val="both"/>
      </w:pPr>
      <w:r w:rsidRPr="00202AEC">
        <w:t xml:space="preserve">L’objectif principal de </w:t>
      </w:r>
      <w:r w:rsidR="0043757E">
        <w:t xml:space="preserve">cet </w:t>
      </w:r>
      <w:r w:rsidRPr="00202AEC">
        <w:t xml:space="preserve">article est d’évaluer la pertinence du protocole (tâches, stimuli, et surtout métriques d’évaluation des performances), mis en </w:t>
      </w:r>
      <w:r w:rsidR="007D5E44" w:rsidRPr="00202AEC">
        <w:t>œuvre</w:t>
      </w:r>
      <w:r w:rsidRPr="00202AEC">
        <w:t xml:space="preserve"> </w:t>
      </w:r>
      <w:r w:rsidR="007D5E44" w:rsidRPr="00202AEC">
        <w:t xml:space="preserve">pour la première fois </w:t>
      </w:r>
      <w:r w:rsidRPr="00202AEC">
        <w:t xml:space="preserve">sur un large échantillon de participants, </w:t>
      </w:r>
      <w:r w:rsidR="00C46093" w:rsidRPr="00202AEC">
        <w:t>en particulier</w:t>
      </w:r>
      <w:r w:rsidRPr="00202AEC">
        <w:t xml:space="preserve"> sa capacité à faire émerger des sous-groupes d’individus </w:t>
      </w:r>
      <w:r w:rsidR="007B3E02">
        <w:t>présentant des niveaux</w:t>
      </w:r>
      <w:r w:rsidRPr="00202AEC">
        <w:t xml:space="preserve"> de performance différenciés, susceptibles de refléter les aptitudes initiales de futurs apprenants en langue étrangère. </w:t>
      </w:r>
      <w:r w:rsidR="007D5E44">
        <w:t>L’analyse portera, d’une part, sur</w:t>
      </w:r>
      <w:r w:rsidR="0017221C" w:rsidRPr="00202AEC">
        <w:t xml:space="preserve"> la répartition des performances au </w:t>
      </w:r>
      <w:r w:rsidR="00E82065" w:rsidRPr="00202AEC">
        <w:t xml:space="preserve">sein de </w:t>
      </w:r>
      <w:r w:rsidR="00ED321F" w:rsidRPr="00202AEC">
        <w:t>l’échantillon,</w:t>
      </w:r>
      <w:r w:rsidR="00404DF7">
        <w:t xml:space="preserve"> et, d’autre part,</w:t>
      </w:r>
      <w:r w:rsidR="00ED321F" w:rsidRPr="00202AEC">
        <w:t xml:space="preserve"> </w:t>
      </w:r>
      <w:r w:rsidR="00404DF7">
        <w:t>sur</w:t>
      </w:r>
      <w:r w:rsidR="00E82065" w:rsidRPr="00202AEC">
        <w:t xml:space="preserve"> les différences individuelles </w:t>
      </w:r>
      <w:r w:rsidR="00404DF7">
        <w:t xml:space="preserve">observées </w:t>
      </w:r>
      <w:r w:rsidR="00E82065" w:rsidRPr="00202AEC">
        <w:t xml:space="preserve">dans l’approche de la tâche et </w:t>
      </w:r>
      <w:r w:rsidR="00C46093" w:rsidRPr="00202AEC">
        <w:t xml:space="preserve">dans </w:t>
      </w:r>
      <w:r w:rsidR="00E82065" w:rsidRPr="00202AEC">
        <w:t>les stratégies adoptées pour la réaliser</w:t>
      </w:r>
      <w:r w:rsidR="00410536" w:rsidRPr="00202AEC">
        <w:t>.</w:t>
      </w:r>
      <w:r w:rsidR="0017221C" w:rsidRPr="00202AEC">
        <w:t xml:space="preserve"> </w:t>
      </w:r>
      <w:r w:rsidRPr="00202AEC">
        <w:t>La discussion d</w:t>
      </w:r>
      <w:r w:rsidR="0017221C" w:rsidRPr="00202AEC">
        <w:t>es résultats</w:t>
      </w:r>
      <w:r w:rsidR="008A3518">
        <w:t xml:space="preserve"> </w:t>
      </w:r>
      <w:r w:rsidR="0017221C" w:rsidRPr="00202AEC">
        <w:t xml:space="preserve">vise </w:t>
      </w:r>
      <w:r w:rsidRPr="00202AEC">
        <w:t xml:space="preserve">plus </w:t>
      </w:r>
      <w:r w:rsidR="008A3518">
        <w:t>largement</w:t>
      </w:r>
      <w:r w:rsidRPr="00202AEC">
        <w:t xml:space="preserve"> </w:t>
      </w:r>
      <w:r w:rsidR="0017221C" w:rsidRPr="00202AEC">
        <w:t xml:space="preserve">à nourrir la réflexion sur les conditions d’un enseignement plus ciblé, en rendant compte de la diversité des comportements et des aptitudes </w:t>
      </w:r>
      <w:r w:rsidR="008A3518">
        <w:t xml:space="preserve">mobilisées </w:t>
      </w:r>
      <w:r w:rsidR="0017221C" w:rsidRPr="00202AEC">
        <w:t>dès les premières phases de contact avec une langue étrangère.</w:t>
      </w:r>
    </w:p>
    <w:p w14:paraId="5F920A62" w14:textId="77777777" w:rsidR="00E20903" w:rsidRPr="00202AEC" w:rsidRDefault="00E20903" w:rsidP="00DF24FC">
      <w:pPr>
        <w:snapToGrid w:val="0"/>
        <w:spacing w:line="360" w:lineRule="auto"/>
        <w:contextualSpacing/>
        <w:jc w:val="both"/>
      </w:pPr>
    </w:p>
    <w:p w14:paraId="6AC4E079" w14:textId="601FE499" w:rsidR="00EF240D" w:rsidRPr="003E54D0" w:rsidRDefault="001D746F" w:rsidP="003E54D0">
      <w:pPr>
        <w:pStyle w:val="Paragraphedeliste"/>
        <w:numPr>
          <w:ilvl w:val="0"/>
          <w:numId w:val="1"/>
        </w:numPr>
        <w:snapToGrid w:val="0"/>
        <w:spacing w:line="360" w:lineRule="auto"/>
        <w:ind w:left="0" w:firstLine="426"/>
        <w:jc w:val="both"/>
        <w:rPr>
          <w:b/>
          <w:bCs/>
        </w:rPr>
      </w:pPr>
      <w:r w:rsidRPr="00202AEC">
        <w:rPr>
          <w:b/>
          <w:bCs/>
        </w:rPr>
        <w:t>Méthodologie</w:t>
      </w:r>
    </w:p>
    <w:p w14:paraId="35E10A29" w14:textId="604FDD02" w:rsidR="00D6639D" w:rsidRPr="003E54D0" w:rsidRDefault="001D746F" w:rsidP="00DF24FC">
      <w:pPr>
        <w:pStyle w:val="Paragraphedeliste"/>
        <w:numPr>
          <w:ilvl w:val="1"/>
          <w:numId w:val="1"/>
        </w:numPr>
        <w:snapToGrid w:val="0"/>
        <w:spacing w:line="360" w:lineRule="auto"/>
        <w:ind w:hanging="87"/>
        <w:jc w:val="both"/>
        <w:rPr>
          <w:b/>
          <w:bCs/>
        </w:rPr>
      </w:pPr>
      <w:r w:rsidRPr="00202AEC">
        <w:rPr>
          <w:b/>
          <w:bCs/>
        </w:rPr>
        <w:t>Participants</w:t>
      </w:r>
    </w:p>
    <w:p w14:paraId="2B04945F" w14:textId="77777777" w:rsidR="009F30AE" w:rsidRDefault="00F82A0B" w:rsidP="00523012">
      <w:pPr>
        <w:snapToGrid w:val="0"/>
        <w:spacing w:line="360" w:lineRule="auto"/>
        <w:contextualSpacing/>
        <w:jc w:val="both"/>
      </w:pPr>
      <w:r w:rsidRPr="00202AEC">
        <w:t xml:space="preserve">Les participants sont des étudiants de l’Université de Valladolid, campus de Soria. </w:t>
      </w:r>
      <w:r w:rsidR="00B81737" w:rsidRPr="00202AEC">
        <w:t>N</w:t>
      </w:r>
      <w:r w:rsidRPr="00202AEC">
        <w:t>on-spécialiste</w:t>
      </w:r>
      <w:r w:rsidR="00CD2E7C" w:rsidRPr="00202AEC">
        <w:t>s</w:t>
      </w:r>
      <w:r w:rsidRPr="00202AEC">
        <w:t xml:space="preserve"> des langues</w:t>
      </w:r>
      <w:r w:rsidR="00B81737" w:rsidRPr="00202AEC">
        <w:t>,</w:t>
      </w:r>
      <w:r w:rsidR="00CD2E7C" w:rsidRPr="00202AEC">
        <w:t xml:space="preserve"> ils </w:t>
      </w:r>
      <w:r w:rsidR="00B64828" w:rsidRPr="00202AEC">
        <w:t xml:space="preserve">n’ont manifesté </w:t>
      </w:r>
      <w:r w:rsidR="00B81737" w:rsidRPr="00202AEC">
        <w:t xml:space="preserve">aucun </w:t>
      </w:r>
      <w:r w:rsidR="00B64828" w:rsidRPr="00202AEC">
        <w:t>intérêt particulier pour l</w:t>
      </w:r>
      <w:r w:rsidR="00CD2E7C" w:rsidRPr="00202AEC">
        <w:t xml:space="preserve">eur </w:t>
      </w:r>
      <w:r w:rsidR="00B64828" w:rsidRPr="00202AEC">
        <w:t>apprentissag</w:t>
      </w:r>
      <w:r w:rsidR="00CD2E7C" w:rsidRPr="00202AEC">
        <w:t>e</w:t>
      </w:r>
      <w:r w:rsidR="00047387" w:rsidRPr="00202AEC">
        <w:t xml:space="preserve">, que ce soit </w:t>
      </w:r>
      <w:r w:rsidR="009F30AE">
        <w:t>au cours de</w:t>
      </w:r>
      <w:r w:rsidR="00047387" w:rsidRPr="00202AEC">
        <w:t xml:space="preserve"> leur parcours scolaire ou en dehors de celui-ci</w:t>
      </w:r>
      <w:r w:rsidR="00B64828" w:rsidRPr="00202AEC">
        <w:t xml:space="preserve">. </w:t>
      </w:r>
      <w:r w:rsidRPr="00202AEC">
        <w:t xml:space="preserve">Ils suivent </w:t>
      </w:r>
      <w:r w:rsidR="00047387" w:rsidRPr="00202AEC">
        <w:t xml:space="preserve">actuellement </w:t>
      </w:r>
      <w:r w:rsidRPr="00202AEC">
        <w:t xml:space="preserve">le cursus en soins infirmiers, en kinésithérapie ou en ingénierie. </w:t>
      </w:r>
      <w:r w:rsidR="009F30AE">
        <w:t xml:space="preserve">Tous sont originaires de la région de </w:t>
      </w:r>
      <w:r w:rsidRPr="00202AEC">
        <w:t>Castille-et-León</w:t>
      </w:r>
      <w:r w:rsidR="009F30AE">
        <w:t> : i</w:t>
      </w:r>
      <w:r w:rsidRPr="00202AEC">
        <w:t xml:space="preserve">ls y sont nés, y vivent et y étudient. </w:t>
      </w:r>
      <w:r w:rsidR="009F30AE">
        <w:t>Leur</w:t>
      </w:r>
      <w:r w:rsidRPr="00202AEC">
        <w:t xml:space="preserve"> langue maternelle </w:t>
      </w:r>
      <w:r w:rsidR="009F30AE">
        <w:t xml:space="preserve">est </w:t>
      </w:r>
      <w:r w:rsidRPr="00202AEC">
        <w:t>le castillan</w:t>
      </w:r>
      <w:r w:rsidR="009F30AE">
        <w:t>,</w:t>
      </w:r>
      <w:r w:rsidR="00C23E51" w:rsidRPr="00202AEC">
        <w:t xml:space="preserve"> et </w:t>
      </w:r>
      <w:r w:rsidR="00CD2E7C" w:rsidRPr="00202AEC">
        <w:t xml:space="preserve">ils </w:t>
      </w:r>
      <w:r w:rsidR="00C23E51" w:rsidRPr="00202AEC">
        <w:t>n’ont aucune compétence linguistique dans les autres langues de la péninsule ibérique</w:t>
      </w:r>
      <w:r w:rsidRPr="00202AEC">
        <w:t xml:space="preserve">. </w:t>
      </w:r>
      <w:r w:rsidR="00047387" w:rsidRPr="00202AEC">
        <w:t xml:space="preserve">Les étudiants </w:t>
      </w:r>
      <w:r w:rsidR="009F30AE">
        <w:t>présentant un</w:t>
      </w:r>
      <w:r w:rsidR="00047387" w:rsidRPr="00202AEC">
        <w:t xml:space="preserve"> profil </w:t>
      </w:r>
      <w:r w:rsidR="009F30AE">
        <w:t xml:space="preserve">comparable mais déclarant </w:t>
      </w:r>
      <w:r w:rsidR="00047387" w:rsidRPr="00202AEC">
        <w:t xml:space="preserve">une connaissance du catalan </w:t>
      </w:r>
      <w:r w:rsidR="005F5735" w:rsidRPr="00202AEC">
        <w:t xml:space="preserve">ou du basque </w:t>
      </w:r>
      <w:r w:rsidR="00047387" w:rsidRPr="00202AEC">
        <w:t xml:space="preserve">ont été exclus de l’échantillon. </w:t>
      </w:r>
    </w:p>
    <w:p w14:paraId="668A1634" w14:textId="4F44E003" w:rsidR="00910C06" w:rsidRPr="00202AEC" w:rsidRDefault="009F30AE" w:rsidP="00523012">
      <w:pPr>
        <w:snapToGrid w:val="0"/>
        <w:spacing w:line="360" w:lineRule="auto"/>
        <w:contextualSpacing/>
        <w:jc w:val="both"/>
      </w:pPr>
      <w:r>
        <w:t>Au</w:t>
      </w:r>
      <w:r w:rsidR="00F82A0B" w:rsidRPr="00202AEC">
        <w:t xml:space="preserve"> total, q</w:t>
      </w:r>
      <w:r w:rsidR="00786BBC" w:rsidRPr="00202AEC">
        <w:t>uarante et un étudiants (33 femmes et 8 hommes)</w:t>
      </w:r>
      <w:r>
        <w:t xml:space="preserve">, </w:t>
      </w:r>
      <w:r w:rsidR="009F0B7E" w:rsidRPr="00202AEC">
        <w:t>âgés de</w:t>
      </w:r>
      <w:r w:rsidR="00786BBC" w:rsidRPr="00202AEC">
        <w:t xml:space="preserve"> 20 </w:t>
      </w:r>
      <w:r w:rsidR="009F0B7E" w:rsidRPr="00202AEC">
        <w:t>à</w:t>
      </w:r>
      <w:r w:rsidR="00786BBC" w:rsidRPr="00202AEC">
        <w:t xml:space="preserve"> 24 ans</w:t>
      </w:r>
      <w:r w:rsidR="009F0B7E" w:rsidRPr="00202AEC">
        <w:t>,</w:t>
      </w:r>
      <w:r w:rsidR="00786BBC" w:rsidRPr="00202AEC">
        <w:t xml:space="preserve"> </w:t>
      </w:r>
      <w:r>
        <w:t>o</w:t>
      </w:r>
      <w:r w:rsidR="00786BBC" w:rsidRPr="00202AEC">
        <w:t>nt pris part à cette étude</w:t>
      </w:r>
      <w:r w:rsidR="0008366B">
        <w:t xml:space="preserve"> </w:t>
      </w:r>
      <w:r w:rsidR="00141879">
        <w:t>dans le cadre d’un</w:t>
      </w:r>
      <w:r w:rsidR="0008366B">
        <w:t xml:space="preserve"> échantillonnage d’opportunité</w:t>
      </w:r>
      <w:r w:rsidR="009F0B7E" w:rsidRPr="00202AEC">
        <w:t xml:space="preserve">. </w:t>
      </w:r>
      <w:r w:rsidR="00E63FA2">
        <w:t>Le dé</w:t>
      </w:r>
      <w:r w:rsidR="009C0BE5">
        <w:t>sé</w:t>
      </w:r>
      <w:r w:rsidR="00E63FA2">
        <w:t>quilibre d</w:t>
      </w:r>
      <w:r w:rsidR="0060470A">
        <w:t xml:space="preserve">es </w:t>
      </w:r>
      <w:r w:rsidR="009C0BE5">
        <w:t>effectifs</w:t>
      </w:r>
      <w:r w:rsidR="00E63FA2">
        <w:t xml:space="preserve"> entre </w:t>
      </w:r>
      <w:r w:rsidR="009C0BE5">
        <w:t>hommes</w:t>
      </w:r>
      <w:r w:rsidR="00E63FA2">
        <w:t xml:space="preserve"> et </w:t>
      </w:r>
      <w:r w:rsidR="009C0BE5">
        <w:t>femmes</w:t>
      </w:r>
      <w:r w:rsidR="00E63FA2">
        <w:t xml:space="preserve"> </w:t>
      </w:r>
      <w:r w:rsidR="0060470A">
        <w:t>a été pris en compte</w:t>
      </w:r>
      <w:r w:rsidR="00E63FA2">
        <w:t xml:space="preserve"> a post</w:t>
      </w:r>
      <w:r w:rsidR="0060470A">
        <w:t>e</w:t>
      </w:r>
      <w:r w:rsidR="00E63FA2">
        <w:t xml:space="preserve">riori </w:t>
      </w:r>
      <w:r w:rsidR="0060470A">
        <w:t xml:space="preserve">lors des </w:t>
      </w:r>
      <w:r w:rsidR="00E63FA2">
        <w:t>analyse</w:t>
      </w:r>
      <w:r w:rsidR="0060470A">
        <w:t>s</w:t>
      </w:r>
      <w:r w:rsidR="001D0D4C">
        <w:t>, notamment par une normalisation intra-sujets des données (scores z)</w:t>
      </w:r>
      <w:r w:rsidR="0060470A">
        <w:t>.</w:t>
      </w:r>
      <w:r w:rsidR="00E63FA2">
        <w:t xml:space="preserve"> </w:t>
      </w:r>
      <w:r w:rsidR="009F0B7E" w:rsidRPr="00202AEC">
        <w:t xml:space="preserve">L’âge moyen était de </w:t>
      </w:r>
      <w:r w:rsidR="00786BBC" w:rsidRPr="00202AEC">
        <w:t>21 ans</w:t>
      </w:r>
      <w:r w:rsidR="00EB135E" w:rsidRPr="00202AEC">
        <w:t xml:space="preserve"> et </w:t>
      </w:r>
      <w:r w:rsidR="00577B2D" w:rsidRPr="00202AEC">
        <w:t>3</w:t>
      </w:r>
      <w:r w:rsidR="00EB135E" w:rsidRPr="00202AEC">
        <w:t xml:space="preserve"> mois</w:t>
      </w:r>
      <w:r w:rsidR="009F0B7E" w:rsidRPr="00202AEC">
        <w:t> (écart-type</w:t>
      </w:r>
      <w:r w:rsidR="00BC5DE7" w:rsidRPr="00202AEC">
        <w:t> </w:t>
      </w:r>
      <w:r w:rsidR="009F0B7E" w:rsidRPr="00202AEC">
        <w:t>:</w:t>
      </w:r>
      <w:r w:rsidR="005F5735" w:rsidRPr="00202AEC">
        <w:t xml:space="preserve"> 1 </w:t>
      </w:r>
      <w:r>
        <w:t>an</w:t>
      </w:r>
      <w:r w:rsidR="005F5735" w:rsidRPr="00202AEC">
        <w:t xml:space="preserve"> et 4 mois</w:t>
      </w:r>
      <w:r>
        <w:t>)</w:t>
      </w:r>
      <w:r w:rsidR="009F0B7E" w:rsidRPr="00202AEC">
        <w:t>, ce qui indique une faible dispersion des âges au sein de l’échantillon.</w:t>
      </w:r>
    </w:p>
    <w:p w14:paraId="290ECD7C" w14:textId="77777777" w:rsidR="00504D3D" w:rsidRPr="00202AEC" w:rsidRDefault="00504D3D" w:rsidP="00DF24FC">
      <w:pPr>
        <w:snapToGrid w:val="0"/>
        <w:spacing w:line="360" w:lineRule="auto"/>
        <w:contextualSpacing/>
        <w:jc w:val="both"/>
      </w:pPr>
    </w:p>
    <w:p w14:paraId="234F6950" w14:textId="6B0E4500" w:rsidR="00870C7A" w:rsidRPr="003E54D0" w:rsidRDefault="001D746F" w:rsidP="00DF24FC">
      <w:pPr>
        <w:pStyle w:val="Paragraphedeliste"/>
        <w:numPr>
          <w:ilvl w:val="1"/>
          <w:numId w:val="1"/>
        </w:numPr>
        <w:snapToGrid w:val="0"/>
        <w:spacing w:line="360" w:lineRule="auto"/>
        <w:ind w:hanging="87"/>
        <w:jc w:val="both"/>
        <w:rPr>
          <w:b/>
          <w:bCs/>
        </w:rPr>
      </w:pPr>
      <w:r w:rsidRPr="00202AEC">
        <w:rPr>
          <w:b/>
          <w:bCs/>
        </w:rPr>
        <w:t>Recueil des données</w:t>
      </w:r>
    </w:p>
    <w:p w14:paraId="5E7A12CF" w14:textId="77777777" w:rsidR="00305B36" w:rsidRDefault="00870C7A" w:rsidP="00523012">
      <w:pPr>
        <w:snapToGrid w:val="0"/>
        <w:spacing w:line="360" w:lineRule="auto"/>
        <w:contextualSpacing/>
        <w:jc w:val="both"/>
      </w:pPr>
      <w:r w:rsidRPr="00202AEC">
        <w:t>Les participants ont suivi le protocole de compliance phonique proposé par Delvaux et al</w:t>
      </w:r>
      <w:r w:rsidR="00407E61" w:rsidRPr="00202AEC">
        <w:t>.</w:t>
      </w:r>
      <w:r w:rsidR="009E73C4" w:rsidRPr="00202AEC">
        <w:t xml:space="preserve"> </w:t>
      </w:r>
      <w:r w:rsidRPr="00202AEC">
        <w:t xml:space="preserve">(2014), </w:t>
      </w:r>
      <w:r w:rsidR="00305B36">
        <w:t>structuré en</w:t>
      </w:r>
      <w:r w:rsidRPr="00202AEC">
        <w:t xml:space="preserve"> deux phases distinctes. </w:t>
      </w:r>
      <w:r w:rsidR="003E0677" w:rsidRPr="00202AEC">
        <w:t>Lors de</w:t>
      </w:r>
      <w:r w:rsidRPr="00202AEC">
        <w:t xml:space="preserve"> la première, les sujets </w:t>
      </w:r>
      <w:r w:rsidR="003E0677" w:rsidRPr="00202AEC">
        <w:t>ont produit</w:t>
      </w:r>
      <w:r w:rsidRPr="00202AEC">
        <w:t xml:space="preserve"> </w:t>
      </w:r>
      <w:r w:rsidR="00A7307C" w:rsidRPr="00202AEC">
        <w:t>dix</w:t>
      </w:r>
      <w:r w:rsidRPr="00202AEC">
        <w:t xml:space="preserve"> réalisations de chacune des cinq voyelles de leur langue maternelle</w:t>
      </w:r>
      <w:r w:rsidR="006828A7" w:rsidRPr="00202AEC">
        <w:t xml:space="preserve">, </w:t>
      </w:r>
      <w:r w:rsidR="00A04851" w:rsidRPr="00202AEC">
        <w:t>en l’occurrence</w:t>
      </w:r>
      <w:r w:rsidR="00305B36">
        <w:t xml:space="preserve"> </w:t>
      </w:r>
      <w:r w:rsidR="005F4A38" w:rsidRPr="00202AEC">
        <w:t>l’espagnol</w:t>
      </w:r>
      <w:r w:rsidR="00BC5DE7" w:rsidRPr="00202AEC">
        <w:t> </w:t>
      </w:r>
      <w:r w:rsidRPr="00202AEC">
        <w:t xml:space="preserve">: /a/, /e/, /i/, /o/ et /u/. </w:t>
      </w:r>
      <w:r w:rsidR="00C838E3" w:rsidRPr="00202AEC">
        <w:t>Les graphèmes correspondants</w:t>
      </w:r>
      <w:r w:rsidR="00305B36">
        <w:t xml:space="preserve"> </w:t>
      </w:r>
      <w:r w:rsidR="00C838E3" w:rsidRPr="00202AEC">
        <w:t>étaient présentés individuellement à l’écran afin de guider leur production de manière explicite et contrôlée.</w:t>
      </w:r>
      <w:r w:rsidR="00D020A2" w:rsidRPr="00202AEC">
        <w:t xml:space="preserve"> </w:t>
      </w:r>
    </w:p>
    <w:p w14:paraId="4C0007C2" w14:textId="49E0042F" w:rsidR="00305B36" w:rsidRDefault="00870C7A" w:rsidP="00523012">
      <w:pPr>
        <w:snapToGrid w:val="0"/>
        <w:spacing w:line="360" w:lineRule="auto"/>
        <w:contextualSpacing/>
        <w:jc w:val="both"/>
      </w:pPr>
      <w:r w:rsidRPr="00202AEC">
        <w:t xml:space="preserve">La deuxième phase </w:t>
      </w:r>
      <w:r w:rsidR="003E0677" w:rsidRPr="00202AEC">
        <w:t>consi</w:t>
      </w:r>
      <w:r w:rsidR="00A87067" w:rsidRPr="00202AEC">
        <w:t>s</w:t>
      </w:r>
      <w:r w:rsidR="003E0677" w:rsidRPr="00202AEC">
        <w:t>tait à écouter</w:t>
      </w:r>
      <w:r w:rsidR="00305B36">
        <w:t>,</w:t>
      </w:r>
      <w:r w:rsidRPr="00202AEC">
        <w:t xml:space="preserve"> </w:t>
      </w:r>
      <w:r w:rsidR="001F5674" w:rsidRPr="00202AEC">
        <w:t>via un casque</w:t>
      </w:r>
      <w:r w:rsidR="00C838E3" w:rsidRPr="00202AEC">
        <w:t xml:space="preserve"> audio</w:t>
      </w:r>
      <w:r w:rsidR="003E0677" w:rsidRPr="00202AEC">
        <w:t>,</w:t>
      </w:r>
      <w:r w:rsidR="001F5674" w:rsidRPr="00202AEC">
        <w:t xml:space="preserve"> </w:t>
      </w:r>
      <w:r w:rsidR="003E0677" w:rsidRPr="00202AEC">
        <w:t>puis à reproduire</w:t>
      </w:r>
      <w:r w:rsidRPr="00202AEC">
        <w:t xml:space="preserve"> 94 voyelles synthétiques. </w:t>
      </w:r>
      <w:r w:rsidR="003E0677" w:rsidRPr="00202AEC">
        <w:t xml:space="preserve">Les </w:t>
      </w:r>
      <w:r w:rsidR="00305B36">
        <w:t>participants</w:t>
      </w:r>
      <w:r w:rsidR="003E0677" w:rsidRPr="00202AEC">
        <w:t xml:space="preserve"> devaient reproduire</w:t>
      </w:r>
      <w:r w:rsidR="00A04851" w:rsidRPr="00202AEC">
        <w:t xml:space="preserve"> chaque son entendu «</w:t>
      </w:r>
      <w:r w:rsidR="00BC5DE7" w:rsidRPr="00202AEC">
        <w:t> </w:t>
      </w:r>
      <w:r w:rsidR="00A04851" w:rsidRPr="00202AEC">
        <w:t>aussi fidèlement que possible, comme s’il s’agissait d’un son d’une langue étrangère</w:t>
      </w:r>
      <w:r w:rsidR="00BC5DE7" w:rsidRPr="00202AEC">
        <w:t> </w:t>
      </w:r>
      <w:r w:rsidR="00A04851" w:rsidRPr="00202AEC">
        <w:t>»</w:t>
      </w:r>
      <w:r w:rsidR="00E27185">
        <w:t xml:space="preserve"> (</w:t>
      </w:r>
      <w:r w:rsidR="000C3FF1">
        <w:t>Delvaux</w:t>
      </w:r>
      <w:r w:rsidR="00B552B2">
        <w:t xml:space="preserve"> et al.</w:t>
      </w:r>
      <w:r w:rsidR="000C3FF1">
        <w:t>, 2014)</w:t>
      </w:r>
      <w:r w:rsidR="00A04851" w:rsidRPr="00202AEC">
        <w:t xml:space="preserve">. Cette tâche de reproduction des 94 voyelles a été </w:t>
      </w:r>
      <w:r w:rsidR="003E0677" w:rsidRPr="00202AEC">
        <w:t>réalisée</w:t>
      </w:r>
      <w:r w:rsidR="00A04851" w:rsidRPr="00202AEC">
        <w:t xml:space="preserve"> cinq fois</w:t>
      </w:r>
      <w:r w:rsidR="00C838E3" w:rsidRPr="00202AEC">
        <w:t xml:space="preserve"> </w:t>
      </w:r>
      <w:r w:rsidR="00305B36">
        <w:t>consécutives</w:t>
      </w:r>
      <w:r w:rsidR="00A04851" w:rsidRPr="00202AEC">
        <w:t xml:space="preserve">. </w:t>
      </w:r>
      <w:r w:rsidR="003E0677" w:rsidRPr="00202AEC">
        <w:t>Ainsi, c</w:t>
      </w:r>
      <w:r w:rsidR="001F5674" w:rsidRPr="00202AEC">
        <w:t>haque participant a</w:t>
      </w:r>
      <w:r w:rsidR="003E0677" w:rsidRPr="00202AEC">
        <w:t xml:space="preserve"> </w:t>
      </w:r>
      <w:r w:rsidR="001F5674" w:rsidRPr="00202AEC">
        <w:t xml:space="preserve">prononcé 520 voyelles, </w:t>
      </w:r>
      <w:r w:rsidR="003E0677" w:rsidRPr="00202AEC">
        <w:t xml:space="preserve">soit un </w:t>
      </w:r>
      <w:r w:rsidR="00305B36">
        <w:t>total</w:t>
      </w:r>
      <w:r w:rsidR="001F5674" w:rsidRPr="00202AEC">
        <w:t xml:space="preserve"> de 21320 voyelles enregistrées </w:t>
      </w:r>
      <w:r w:rsidR="00305B36">
        <w:t>pour l’ensemble de l’échantillon</w:t>
      </w:r>
      <w:r w:rsidR="001F5674" w:rsidRPr="00202AEC">
        <w:t xml:space="preserve">. </w:t>
      </w:r>
    </w:p>
    <w:p w14:paraId="16904477" w14:textId="5E46187C" w:rsidR="003B27CF" w:rsidRPr="00202AEC" w:rsidRDefault="003B27CF" w:rsidP="00523012">
      <w:pPr>
        <w:snapToGrid w:val="0"/>
        <w:spacing w:line="360" w:lineRule="auto"/>
        <w:contextualSpacing/>
        <w:jc w:val="both"/>
      </w:pPr>
      <w:r w:rsidRPr="00202AEC">
        <w:t xml:space="preserve">Les enregistrements des productions ont été </w:t>
      </w:r>
      <w:r w:rsidR="003E0677" w:rsidRPr="00202AEC">
        <w:t>effectués</w:t>
      </w:r>
      <w:r w:rsidRPr="00202AEC">
        <w:t xml:space="preserve"> à l’aide d’un enregistreur</w:t>
      </w:r>
      <w:r w:rsidR="001F5674" w:rsidRPr="00202AEC">
        <w:t xml:space="preserve"> digital</w:t>
      </w:r>
      <w:r w:rsidRPr="00202AEC">
        <w:t xml:space="preserve"> Zoom</w:t>
      </w:r>
      <w:r w:rsidR="001F5674" w:rsidRPr="00202AEC">
        <w:t xml:space="preserve"> H5</w:t>
      </w:r>
      <w:r w:rsidRPr="00202AEC">
        <w:t xml:space="preserve">, un dispositif </w:t>
      </w:r>
      <w:r w:rsidR="00305B36">
        <w:t xml:space="preserve">couramment </w:t>
      </w:r>
      <w:r w:rsidRPr="00202AEC">
        <w:t xml:space="preserve">utilisé dans </w:t>
      </w:r>
      <w:r w:rsidR="00136206" w:rsidRPr="00202AEC">
        <w:t xml:space="preserve">les études acoustiques pour sa précision et sa fiabilité. </w:t>
      </w:r>
      <w:r w:rsidR="00164B20">
        <w:t>L’</w:t>
      </w:r>
      <w:r w:rsidR="00136206" w:rsidRPr="00202AEC">
        <w:t xml:space="preserve">enregistreur était </w:t>
      </w:r>
      <w:r w:rsidR="00164B20">
        <w:t>reli</w:t>
      </w:r>
      <w:r w:rsidR="00136206" w:rsidRPr="00202AEC">
        <w:t xml:space="preserve">é à un microphone intégré à un casque, permettant ainsi de maintenir une distance constante et optimale entre la bouche du sujet et le microphone. Cette </w:t>
      </w:r>
      <w:r w:rsidR="00510135" w:rsidRPr="00202AEC">
        <w:lastRenderedPageBreak/>
        <w:t>disposition</w:t>
      </w:r>
      <w:r w:rsidR="00136206" w:rsidRPr="00202AEC">
        <w:t xml:space="preserve"> </w:t>
      </w:r>
      <w:r w:rsidR="00164B20">
        <w:t>favorise</w:t>
      </w:r>
      <w:r w:rsidR="00136206" w:rsidRPr="00202AEC">
        <w:t xml:space="preserve"> une capture sonore uniforme et minimise les variations dues aux mouvements du sujet. </w:t>
      </w:r>
    </w:p>
    <w:p w14:paraId="41A4690E" w14:textId="77777777" w:rsidR="003B27CF" w:rsidRPr="00202AEC" w:rsidRDefault="003B27CF" w:rsidP="00DF24FC">
      <w:pPr>
        <w:snapToGrid w:val="0"/>
        <w:spacing w:line="360" w:lineRule="auto"/>
        <w:contextualSpacing/>
        <w:jc w:val="both"/>
        <w:rPr>
          <w:b/>
          <w:bCs/>
        </w:rPr>
      </w:pPr>
    </w:p>
    <w:p w14:paraId="49F90773" w14:textId="7327318A" w:rsidR="00870C7A" w:rsidRPr="00202AEC" w:rsidRDefault="00870C7A" w:rsidP="00DF24FC">
      <w:pPr>
        <w:pStyle w:val="Paragraphedeliste"/>
        <w:numPr>
          <w:ilvl w:val="2"/>
          <w:numId w:val="1"/>
        </w:numPr>
        <w:snapToGrid w:val="0"/>
        <w:spacing w:line="360" w:lineRule="auto"/>
        <w:ind w:left="1418" w:firstLine="142"/>
        <w:jc w:val="both"/>
        <w:rPr>
          <w:b/>
          <w:bCs/>
        </w:rPr>
      </w:pPr>
      <w:r w:rsidRPr="00202AEC">
        <w:rPr>
          <w:b/>
          <w:bCs/>
        </w:rPr>
        <w:t xml:space="preserve">Stimuli </w:t>
      </w:r>
    </w:p>
    <w:p w14:paraId="728A0D52" w14:textId="71D8C53C" w:rsidR="00870C7A" w:rsidRPr="00202AEC" w:rsidRDefault="00870C7A" w:rsidP="00DF24FC">
      <w:pPr>
        <w:snapToGrid w:val="0"/>
        <w:spacing w:line="360" w:lineRule="auto"/>
        <w:ind w:firstLine="284"/>
        <w:contextualSpacing/>
        <w:jc w:val="both"/>
      </w:pPr>
    </w:p>
    <w:p w14:paraId="38406539" w14:textId="25F013B9" w:rsidR="00015C0D" w:rsidRDefault="00E62B6A" w:rsidP="00523012">
      <w:pPr>
        <w:snapToGrid w:val="0"/>
        <w:spacing w:line="360" w:lineRule="auto"/>
        <w:contextualSpacing/>
        <w:jc w:val="both"/>
      </w:pPr>
      <w:r w:rsidRPr="00202AEC">
        <w:t xml:space="preserve">Les 94 voyelles synthétiques proposées pour la deuxième tâche ont été générées </w:t>
      </w:r>
      <w:r w:rsidR="00014547">
        <w:t>à l’aide d’</w:t>
      </w:r>
      <w:r w:rsidRPr="00202AEC">
        <w:t>un synthétiseur de Klatt (1980)</w:t>
      </w:r>
      <w:r w:rsidR="008A4C8F" w:rsidRPr="00202AEC">
        <w:t xml:space="preserve">. </w:t>
      </w:r>
      <w:r w:rsidR="000C1209" w:rsidRPr="00202AEC">
        <w:t xml:space="preserve">Compatibles avec une voix </w:t>
      </w:r>
      <w:r w:rsidR="00C444CA" w:rsidRPr="00202AEC">
        <w:t>masculine</w:t>
      </w:r>
      <w:r w:rsidR="000C1209" w:rsidRPr="00202AEC">
        <w:t xml:space="preserve"> en termes de fréquence fondamentale et de </w:t>
      </w:r>
      <w:r w:rsidR="004950AB">
        <w:t>f</w:t>
      </w:r>
      <w:r w:rsidR="000C1209" w:rsidRPr="00202AEC">
        <w:t>ormants</w:t>
      </w:r>
      <w:r w:rsidR="004950AB">
        <w:t>,</w:t>
      </w:r>
      <w:r w:rsidR="000C1209" w:rsidRPr="00202AEC">
        <w:t xml:space="preserve"> </w:t>
      </w:r>
      <w:r w:rsidR="00013F6E">
        <w:t>les voyelles</w:t>
      </w:r>
      <w:r w:rsidR="004950AB">
        <w:t xml:space="preserve"> s</w:t>
      </w:r>
      <w:r w:rsidR="008A4C8F" w:rsidRPr="00202AEC">
        <w:t xml:space="preserve">ont distribuées de manière régulière </w:t>
      </w:r>
      <w:r w:rsidR="00F76A2F" w:rsidRPr="00202AEC">
        <w:t xml:space="preserve">(sur une échelle en mels) </w:t>
      </w:r>
      <w:r w:rsidR="008A4C8F" w:rsidRPr="00202AEC">
        <w:t>dans l’espace</w:t>
      </w:r>
      <w:r w:rsidR="00E44561" w:rsidRPr="00202AEC">
        <w:t xml:space="preserve"> </w:t>
      </w:r>
      <w:r w:rsidR="007B19A5" w:rsidRPr="00202AEC">
        <w:t xml:space="preserve">acoustique tridimensionnel </w:t>
      </w:r>
      <w:r w:rsidR="004950AB">
        <w:t>défini</w:t>
      </w:r>
      <w:r w:rsidR="00EF270A" w:rsidRPr="00202AEC">
        <w:t xml:space="preserve"> par les trois premiers formants </w:t>
      </w:r>
      <w:r w:rsidR="004950AB">
        <w:t>(</w:t>
      </w:r>
      <w:r w:rsidR="008A4C8F" w:rsidRPr="00202AEC">
        <w:t>F</w:t>
      </w:r>
      <w:r w:rsidR="004950AB">
        <w:t xml:space="preserve">1, </w:t>
      </w:r>
      <w:r w:rsidR="008A4C8F" w:rsidRPr="00202AEC">
        <w:t>F2</w:t>
      </w:r>
      <w:r w:rsidR="004950AB">
        <w:t xml:space="preserve"> et </w:t>
      </w:r>
      <w:r w:rsidR="008A4C8F" w:rsidRPr="00202AEC">
        <w:t>F</w:t>
      </w:r>
      <w:r w:rsidR="00E44561" w:rsidRPr="00202AEC">
        <w:t>3</w:t>
      </w:r>
      <w:r w:rsidR="004950AB">
        <w:t>),</w:t>
      </w:r>
      <w:r w:rsidR="008A4C8F" w:rsidRPr="00202AEC">
        <w:t xml:space="preserve"> </w:t>
      </w:r>
      <w:r w:rsidR="004950AB">
        <w:t>de manière à couvrir l’ensemble</w:t>
      </w:r>
      <w:r w:rsidR="001C460B" w:rsidRPr="00202AEC">
        <w:t xml:space="preserve"> </w:t>
      </w:r>
      <w:r w:rsidR="004950AB">
        <w:t>d</w:t>
      </w:r>
      <w:r w:rsidR="001C460B" w:rsidRPr="00202AEC">
        <w:t xml:space="preserve">es configurations vocaliques réalisables par </w:t>
      </w:r>
      <w:r w:rsidR="005941CA" w:rsidRPr="00202AEC">
        <w:t>un conduit vocal humain</w:t>
      </w:r>
      <w:r w:rsidR="004950AB">
        <w:t>,</w:t>
      </w:r>
      <w:r w:rsidR="001C460B" w:rsidRPr="00202AEC">
        <w:t xml:space="preserve"> et ainsi </w:t>
      </w:r>
      <w:r w:rsidR="00047387" w:rsidRPr="00202AEC">
        <w:t>« </w:t>
      </w:r>
      <w:r w:rsidR="008A4C8F" w:rsidRPr="00202AEC">
        <w:t>remplir</w:t>
      </w:r>
      <w:r w:rsidR="00047387" w:rsidRPr="00202AEC">
        <w:t> »</w:t>
      </w:r>
      <w:r w:rsidR="008A4C8F" w:rsidRPr="00202AEC">
        <w:t xml:space="preserve"> tout l’espace vocalique (Delvaux et al</w:t>
      </w:r>
      <w:r w:rsidR="00407E61" w:rsidRPr="00202AEC">
        <w:t>.</w:t>
      </w:r>
      <w:r w:rsidR="008A4C8F" w:rsidRPr="00202AEC">
        <w:t>, 2014).</w:t>
      </w:r>
      <w:r w:rsidR="001C460B" w:rsidRPr="00202AEC">
        <w:t xml:space="preserve"> Les stimuli ont</w:t>
      </w:r>
      <w:r w:rsidR="00D82084" w:rsidRPr="00202AEC">
        <w:t xml:space="preserve"> </w:t>
      </w:r>
      <w:r w:rsidR="001C460B" w:rsidRPr="00202AEC">
        <w:t>donc été construit</w:t>
      </w:r>
      <w:r w:rsidR="006828A7" w:rsidRPr="00202AEC">
        <w:t>s</w:t>
      </w:r>
      <w:r w:rsidR="001C460B" w:rsidRPr="00202AEC">
        <w:t xml:space="preserve"> en faisant varier les trois premiers formants</w:t>
      </w:r>
      <w:r w:rsidR="00BC5DE7" w:rsidRPr="00202AEC">
        <w:t> </w:t>
      </w:r>
      <w:r w:rsidR="00015C0D">
        <w:t xml:space="preserve">selon </w:t>
      </w:r>
      <w:r w:rsidR="004765A3">
        <w:t>d</w:t>
      </w:r>
      <w:r w:rsidR="00015C0D">
        <w:t xml:space="preserve">es plages </w:t>
      </w:r>
      <w:r w:rsidR="004765A3">
        <w:t>bien définies</w:t>
      </w:r>
      <w:r w:rsidR="00015C0D">
        <w:t> :</w:t>
      </w:r>
      <w:r w:rsidR="001C460B" w:rsidRPr="00202AEC">
        <w:t xml:space="preserve"> F1</w:t>
      </w:r>
      <w:r w:rsidR="004765A3">
        <w:t xml:space="preserve"> allait </w:t>
      </w:r>
      <w:r w:rsidR="001C460B" w:rsidRPr="00202AEC">
        <w:t>de 344 à 821 mels par pas de 95</w:t>
      </w:r>
      <w:r w:rsidR="00694158" w:rsidRPr="00202AEC">
        <w:t>.</w:t>
      </w:r>
      <w:r w:rsidR="001C460B" w:rsidRPr="00202AEC">
        <w:t>4 mels</w:t>
      </w:r>
      <w:r w:rsidR="00015C0D">
        <w:t xml:space="preserve"> ; </w:t>
      </w:r>
      <w:r w:rsidR="001C460B" w:rsidRPr="00202AEC">
        <w:t>F2</w:t>
      </w:r>
      <w:r w:rsidR="00015C0D">
        <w:t>,</w:t>
      </w:r>
      <w:r w:rsidR="001C460B" w:rsidRPr="00202AEC">
        <w:t xml:space="preserve"> de 859 à 1540 mels par pas de 111</w:t>
      </w:r>
      <w:r w:rsidR="00694158" w:rsidRPr="00202AEC">
        <w:t>.</w:t>
      </w:r>
      <w:r w:rsidR="001C460B" w:rsidRPr="00202AEC">
        <w:t>5 mels</w:t>
      </w:r>
      <w:r w:rsidR="00015C0D">
        <w:t xml:space="preserve"> ; </w:t>
      </w:r>
      <w:r w:rsidR="001C460B" w:rsidRPr="00202AEC">
        <w:t>et F3</w:t>
      </w:r>
      <w:r w:rsidR="00015C0D">
        <w:t>,</w:t>
      </w:r>
      <w:r w:rsidR="001C460B" w:rsidRPr="00202AEC">
        <w:t xml:space="preserve"> de 1602 à 1876 mels par pas de 92</w:t>
      </w:r>
      <w:r w:rsidR="00694158" w:rsidRPr="00202AEC">
        <w:t>.</w:t>
      </w:r>
      <w:r w:rsidR="001C460B" w:rsidRPr="00202AEC">
        <w:t xml:space="preserve">3 mels. </w:t>
      </w:r>
    </w:p>
    <w:p w14:paraId="5A6504AD" w14:textId="77777777" w:rsidR="00015C0D" w:rsidRDefault="001C460B" w:rsidP="00523012">
      <w:pPr>
        <w:snapToGrid w:val="0"/>
        <w:spacing w:line="360" w:lineRule="auto"/>
        <w:contextualSpacing/>
        <w:jc w:val="both"/>
      </w:pPr>
      <w:r w:rsidRPr="00202AEC">
        <w:t>Les limites des fréquences de</w:t>
      </w:r>
      <w:r w:rsidR="003072ED" w:rsidRPr="00202AEC">
        <w:t>s formants ont été fixées en se basant sur les propriétés formantiques de l’éventail des langues naturelles existantes (Ladefoged, 2005) et en prenant en considération les contraintes liées aux propriétés du tractus vocal humain</w:t>
      </w:r>
      <w:r w:rsidR="00F17BAF" w:rsidRPr="00202AEC">
        <w:t xml:space="preserve">. Dans </w:t>
      </w:r>
      <w:r w:rsidR="003072ED" w:rsidRPr="00202AEC">
        <w:t>la Figure 1</w:t>
      </w:r>
      <w:r w:rsidR="00B024EC" w:rsidRPr="00202AEC">
        <w:t>(</w:t>
      </w:r>
      <w:r w:rsidR="005941CA" w:rsidRPr="00202AEC">
        <w:t>a</w:t>
      </w:r>
      <w:r w:rsidR="00B024EC" w:rsidRPr="00202AEC">
        <w:t>)</w:t>
      </w:r>
      <w:r w:rsidR="00504D3D" w:rsidRPr="00202AEC">
        <w:t xml:space="preserve">, </w:t>
      </w:r>
      <w:r w:rsidR="00F17BAF" w:rsidRPr="00202AEC">
        <w:t>les croix</w:t>
      </w:r>
      <w:r w:rsidR="003072ED" w:rsidRPr="00202AEC">
        <w:t xml:space="preserve"> </w:t>
      </w:r>
      <w:r w:rsidR="00015C0D">
        <w:t>signalent</w:t>
      </w:r>
      <w:r w:rsidR="00F17BAF" w:rsidRPr="00202AEC">
        <w:t xml:space="preserve"> les combinaisons de F1, F2 et F3 impossibles à produire </w:t>
      </w:r>
      <w:r w:rsidR="00983884" w:rsidRPr="00202AEC">
        <w:t xml:space="preserve">par un conduit vocal humain </w:t>
      </w:r>
      <w:r w:rsidR="00F17BAF" w:rsidRPr="00202AEC">
        <w:t xml:space="preserve">et les points représentent les voyelles techniquement </w:t>
      </w:r>
      <w:r w:rsidR="00015C0D">
        <w:t>irréalisables</w:t>
      </w:r>
      <w:r w:rsidR="00F17BAF" w:rsidRPr="00202AEC">
        <w:t xml:space="preserve"> en raison de l’incompatibilité des valeurs de F2 et F3</w:t>
      </w:r>
      <w:r w:rsidR="00983884" w:rsidRPr="00202AEC">
        <w:t xml:space="preserve"> (F2 ne pouvant pas</w:t>
      </w:r>
      <w:r w:rsidR="00015C0D">
        <w:t>, par définition,</w:t>
      </w:r>
      <w:r w:rsidR="00983884" w:rsidRPr="00202AEC">
        <w:t xml:space="preserve"> être plus élevé que F3)</w:t>
      </w:r>
      <w:r w:rsidR="003072ED" w:rsidRPr="00202AEC">
        <w:t xml:space="preserve">. </w:t>
      </w:r>
    </w:p>
    <w:p w14:paraId="6862EC5A" w14:textId="6975DF4A" w:rsidR="00EB38E2" w:rsidRDefault="001C460B" w:rsidP="00523012">
      <w:pPr>
        <w:snapToGrid w:val="0"/>
        <w:spacing w:line="360" w:lineRule="auto"/>
        <w:contextualSpacing/>
        <w:jc w:val="both"/>
      </w:pPr>
      <w:r w:rsidRPr="00202AEC">
        <w:t xml:space="preserve">La fréquence fondamentale </w:t>
      </w:r>
      <w:r w:rsidR="00C547FB">
        <w:t>(F</w:t>
      </w:r>
      <w:r w:rsidR="00983884" w:rsidRPr="00202AEC">
        <w:t>0</w:t>
      </w:r>
      <w:r w:rsidR="00C547FB">
        <w:t xml:space="preserve">), </w:t>
      </w:r>
      <w:r w:rsidR="00983884" w:rsidRPr="00202AEC">
        <w:t xml:space="preserve">suivant un contour </w:t>
      </w:r>
      <w:r w:rsidR="00D0607B" w:rsidRPr="00202AEC">
        <w:t xml:space="preserve">descendant </w:t>
      </w:r>
      <w:r w:rsidRPr="00202AEC">
        <w:t>de 110 à 90 H</w:t>
      </w:r>
      <w:r w:rsidR="00C547FB">
        <w:t>z,</w:t>
      </w:r>
      <w:r w:rsidRPr="00202AEC">
        <w:t xml:space="preserve"> ainsi que la durée des voyelles (200</w:t>
      </w:r>
      <w:r w:rsidR="00047387" w:rsidRPr="00202AEC">
        <w:t xml:space="preserve"> </w:t>
      </w:r>
      <w:r w:rsidRPr="00202AEC">
        <w:t>ms)</w:t>
      </w:r>
      <w:r w:rsidR="00C547FB">
        <w:t>, ont été maintenues constantes pour l’ensemble des</w:t>
      </w:r>
      <w:r w:rsidRPr="00202AEC">
        <w:t xml:space="preserve"> stimuli.</w:t>
      </w:r>
    </w:p>
    <w:p w14:paraId="06216EDB" w14:textId="77777777" w:rsidR="00EC5B31" w:rsidRPr="00202AEC" w:rsidRDefault="00EC5B31" w:rsidP="00523012">
      <w:pPr>
        <w:snapToGrid w:val="0"/>
        <w:spacing w:line="360" w:lineRule="auto"/>
        <w:contextualSpacing/>
        <w:jc w:val="both"/>
      </w:pPr>
    </w:p>
    <w:p w14:paraId="40ABFB30" w14:textId="38EE2653" w:rsidR="00117016" w:rsidRPr="00B07508" w:rsidRDefault="00EC5B31" w:rsidP="00EC5B31">
      <w:pPr>
        <w:snapToGrid w:val="0"/>
        <w:spacing w:line="360" w:lineRule="auto"/>
        <w:ind w:firstLine="284"/>
        <w:contextualSpacing/>
        <w:jc w:val="center"/>
        <w:rPr>
          <w:b/>
          <w:bCs/>
          <w:color w:val="111111"/>
          <w:sz w:val="20"/>
          <w:szCs w:val="20"/>
        </w:rPr>
      </w:pPr>
      <w:r w:rsidRPr="00B07508">
        <w:rPr>
          <w:b/>
          <w:bCs/>
          <w:color w:val="111111"/>
          <w:sz w:val="20"/>
          <w:szCs w:val="20"/>
        </w:rPr>
        <w:t>Figure 1. Matériel et méthodes. (a) Propriétés acoustiques des 94 voyelles synthétiques (</w:t>
      </w:r>
      <w:r w:rsidR="000C3FF1">
        <w:rPr>
          <w:b/>
          <w:bCs/>
          <w:color w:val="111111"/>
          <w:sz w:val="20"/>
          <w:szCs w:val="20"/>
        </w:rPr>
        <w:t xml:space="preserve">en </w:t>
      </w:r>
      <w:r w:rsidR="0040342A">
        <w:rPr>
          <w:b/>
          <w:bCs/>
          <w:color w:val="111111"/>
          <w:sz w:val="20"/>
          <w:szCs w:val="20"/>
        </w:rPr>
        <w:t>d</w:t>
      </w:r>
      <w:r w:rsidR="00C368AA">
        <w:rPr>
          <w:b/>
          <w:bCs/>
          <w:color w:val="111111"/>
          <w:sz w:val="20"/>
          <w:szCs w:val="20"/>
        </w:rPr>
        <w:t>é</w:t>
      </w:r>
      <w:r w:rsidR="0040342A">
        <w:rPr>
          <w:b/>
          <w:bCs/>
          <w:color w:val="111111"/>
          <w:sz w:val="20"/>
          <w:szCs w:val="20"/>
        </w:rPr>
        <w:t xml:space="preserve">gradé de </w:t>
      </w:r>
      <w:r w:rsidR="000C3FF1">
        <w:rPr>
          <w:b/>
          <w:bCs/>
          <w:color w:val="111111"/>
          <w:sz w:val="20"/>
          <w:szCs w:val="20"/>
        </w:rPr>
        <w:t xml:space="preserve">violet, </w:t>
      </w:r>
      <w:r w:rsidRPr="00B07508">
        <w:rPr>
          <w:b/>
          <w:bCs/>
          <w:color w:val="111111"/>
          <w:sz w:val="20"/>
          <w:szCs w:val="20"/>
        </w:rPr>
        <w:t>d’après Delvaux et al., 2014) ; (b) Formules de calcul des trois indices de compliance (d’après Huet et al., 2012)</w:t>
      </w:r>
    </w:p>
    <w:p w14:paraId="02DEFCC0" w14:textId="2D7C48FD" w:rsidR="008B2C72" w:rsidRPr="001C4530" w:rsidRDefault="00365E90" w:rsidP="00365E90">
      <w:pPr>
        <w:snapToGrid w:val="0"/>
        <w:spacing w:line="360" w:lineRule="auto"/>
        <w:ind w:firstLine="284"/>
        <w:contextualSpacing/>
        <w:jc w:val="center"/>
        <w:rPr>
          <w:color w:val="111111"/>
        </w:rPr>
      </w:pPr>
      <w:r>
        <w:rPr>
          <w:noProof/>
          <w:color w:val="111111"/>
        </w:rPr>
        <w:drawing>
          <wp:inline distT="0" distB="0" distL="0" distR="0" wp14:anchorId="1408E59C" wp14:editId="342B8ECE">
            <wp:extent cx="5315632" cy="1492738"/>
            <wp:effectExtent l="0" t="0" r="0" b="6350"/>
            <wp:docPr id="6" name="Image 6" descr="Une image contenant texte, capture d’écran,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capture d’écran, ligne, diagramme&#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7443" cy="1510096"/>
                    </a:xfrm>
                    <a:prstGeom prst="rect">
                      <a:avLst/>
                    </a:prstGeom>
                  </pic:spPr>
                </pic:pic>
              </a:graphicData>
            </a:graphic>
          </wp:inline>
        </w:drawing>
      </w:r>
    </w:p>
    <w:p w14:paraId="18FB3D2E" w14:textId="54E4E7CB" w:rsidR="00107797" w:rsidRPr="00A51245" w:rsidRDefault="00F2725C" w:rsidP="00DF24FC">
      <w:pPr>
        <w:pStyle w:val="Paragraphedeliste"/>
        <w:numPr>
          <w:ilvl w:val="2"/>
          <w:numId w:val="1"/>
        </w:numPr>
        <w:snapToGrid w:val="0"/>
        <w:spacing w:line="360" w:lineRule="auto"/>
        <w:ind w:left="1418" w:firstLine="142"/>
        <w:jc w:val="both"/>
        <w:rPr>
          <w:b/>
          <w:bCs/>
        </w:rPr>
      </w:pPr>
      <w:r w:rsidRPr="00202AEC">
        <w:rPr>
          <w:b/>
          <w:bCs/>
        </w:rPr>
        <w:t>Traitement des données</w:t>
      </w:r>
    </w:p>
    <w:p w14:paraId="16BBA1B8" w14:textId="6BA17E1A" w:rsidR="00F2725C" w:rsidRPr="00202AEC" w:rsidRDefault="00F2725C" w:rsidP="00523012">
      <w:pPr>
        <w:snapToGrid w:val="0"/>
        <w:spacing w:line="360" w:lineRule="auto"/>
        <w:contextualSpacing/>
        <w:jc w:val="both"/>
      </w:pPr>
      <w:r w:rsidRPr="00202AEC">
        <w:lastRenderedPageBreak/>
        <w:t>Les productions des 41 sujets ont été segmentées à l’aide d’un script Praat</w:t>
      </w:r>
      <w:r w:rsidRPr="00202AEC">
        <w:sym w:font="Symbol" w:char="F0D2"/>
      </w:r>
      <w:r w:rsidR="00EB135E" w:rsidRPr="00202AEC">
        <w:t xml:space="preserve"> dédié</w:t>
      </w:r>
      <w:r w:rsidR="00770ED9" w:rsidRPr="00202AEC">
        <w:t xml:space="preserve">, </w:t>
      </w:r>
      <w:r w:rsidR="00177771">
        <w:t xml:space="preserve">spécifiquement </w:t>
      </w:r>
      <w:r w:rsidR="00770ED9" w:rsidRPr="00202AEC">
        <w:t>adapté aux besoins de l’analyse</w:t>
      </w:r>
      <w:r w:rsidR="00AB34D7">
        <w:t xml:space="preserve"> (Goeseels</w:t>
      </w:r>
      <w:r w:rsidR="00BF3C48">
        <w:t xml:space="preserve"> et al.</w:t>
      </w:r>
      <w:r w:rsidR="00AB34D7">
        <w:t>, 2024)</w:t>
      </w:r>
      <w:r w:rsidRPr="00202AEC">
        <w:t>. Les valeurs fréquentielles des trois premiers formants (F1, F2 et F3), initialement mesuré</w:t>
      </w:r>
      <w:r w:rsidR="00983884" w:rsidRPr="00202AEC">
        <w:t>e</w:t>
      </w:r>
      <w:r w:rsidRPr="00202AEC">
        <w:t>s en Hz</w:t>
      </w:r>
      <w:r w:rsidR="00177771">
        <w:t xml:space="preserve"> </w:t>
      </w:r>
      <w:r w:rsidRPr="00202AEC">
        <w:t xml:space="preserve">puis </w:t>
      </w:r>
      <w:r w:rsidR="00B20144" w:rsidRPr="00202AEC">
        <w:t>converties</w:t>
      </w:r>
      <w:r w:rsidRPr="00202AEC">
        <w:t xml:space="preserve"> en mels, ont été </w:t>
      </w:r>
      <w:r w:rsidR="00177771">
        <w:t>extraites</w:t>
      </w:r>
      <w:r w:rsidRPr="00202AEC">
        <w:t xml:space="preserve"> à intervalles de 10</w:t>
      </w:r>
      <w:r w:rsidR="004C5D39" w:rsidRPr="00202AEC">
        <w:t xml:space="preserve"> </w:t>
      </w:r>
      <w:r w:rsidRPr="00202AEC">
        <w:t xml:space="preserve">% sur la durée totale de chaque </w:t>
      </w:r>
      <w:r w:rsidR="00177771">
        <w:t>voyelle,</w:t>
      </w:r>
      <w:r w:rsidRPr="00202AEC">
        <w:t xml:space="preserve"> à l’aide d’un deuxième script Praat</w:t>
      </w:r>
      <w:r w:rsidRPr="00202AEC">
        <w:sym w:font="Symbol" w:char="F0D2"/>
      </w:r>
      <w:r w:rsidRPr="00202AEC">
        <w:t xml:space="preserve">. Les paramètres </w:t>
      </w:r>
      <w:r w:rsidR="00177771">
        <w:t>de</w:t>
      </w:r>
      <w:r w:rsidR="00983884" w:rsidRPr="00202AEC">
        <w:t xml:space="preserve"> mesure</w:t>
      </w:r>
      <w:r w:rsidRPr="00202AEC">
        <w:t xml:space="preserve"> ont été ajustés individuellement pour chaque participant, et </w:t>
      </w:r>
      <w:r w:rsidR="00B07882">
        <w:t>l’ensemble des valeurs</w:t>
      </w:r>
      <w:r w:rsidRPr="00202AEC">
        <w:t xml:space="preserve"> </w:t>
      </w:r>
      <w:r w:rsidR="00B07882">
        <w:t>a</w:t>
      </w:r>
      <w:r w:rsidRPr="00202AEC">
        <w:t xml:space="preserve"> été contrôlé</w:t>
      </w:r>
      <w:r w:rsidR="00B07882">
        <w:t xml:space="preserve"> </w:t>
      </w:r>
      <w:r w:rsidRPr="00202AEC">
        <w:t>et corrigé manuellement</w:t>
      </w:r>
      <w:r w:rsidR="0089514A" w:rsidRPr="00202AEC">
        <w:t xml:space="preserve"> </w:t>
      </w:r>
      <w:r w:rsidRPr="00202AEC">
        <w:t>afin de garantir une plus grande précision.</w:t>
      </w:r>
      <w:r w:rsidR="00983884" w:rsidRPr="00202AEC">
        <w:t xml:space="preserve"> Pour chaque voyelle produite, </w:t>
      </w:r>
      <w:r w:rsidR="004B5698" w:rsidRPr="00202AEC">
        <w:t>la valeur médiane de F1, F2 et F3</w:t>
      </w:r>
      <w:r w:rsidR="0050351B" w:rsidRPr="00202AEC">
        <w:t xml:space="preserve">, </w:t>
      </w:r>
      <w:r w:rsidR="00B20144" w:rsidRPr="00202AEC">
        <w:t>calculée</w:t>
      </w:r>
      <w:r w:rsidR="004B5698" w:rsidRPr="00202AEC">
        <w:t xml:space="preserve"> à partir </w:t>
      </w:r>
      <w:r w:rsidR="00B07882">
        <w:t>des</w:t>
      </w:r>
      <w:r w:rsidR="004B5698" w:rsidRPr="00202AEC">
        <w:t xml:space="preserve"> mesures prises tous les 10</w:t>
      </w:r>
      <w:r w:rsidR="0050351B" w:rsidRPr="00202AEC">
        <w:t xml:space="preserve"> </w:t>
      </w:r>
      <w:r w:rsidR="004B5698" w:rsidRPr="00202AEC">
        <w:t>% de la durée</w:t>
      </w:r>
      <w:r w:rsidR="00C46093" w:rsidRPr="00202AEC">
        <w:t>, a finalement été conservée</w:t>
      </w:r>
      <w:r w:rsidR="004B5698" w:rsidRPr="00202AEC">
        <w:t>.</w:t>
      </w:r>
    </w:p>
    <w:p w14:paraId="207FB7F9" w14:textId="4F520651" w:rsidR="00D570F0" w:rsidRPr="00202AEC" w:rsidRDefault="004B5698" w:rsidP="00523012">
      <w:pPr>
        <w:snapToGrid w:val="0"/>
        <w:spacing w:line="360" w:lineRule="auto"/>
        <w:contextualSpacing/>
        <w:jc w:val="both"/>
      </w:pPr>
      <w:r w:rsidRPr="00202AEC">
        <w:t>Sur la base de</w:t>
      </w:r>
      <w:r w:rsidR="00B07882">
        <w:t>s</w:t>
      </w:r>
      <w:r w:rsidRPr="00202AEC">
        <w:t xml:space="preserve"> comparaisons entre les valeurs formantiques des cibles (94 stimuli) et de leurs reproductions par les participants (</w:t>
      </w:r>
      <w:r w:rsidR="00B07882">
        <w:t xml:space="preserve">réparties en </w:t>
      </w:r>
      <w:r w:rsidRPr="00202AEC">
        <w:t xml:space="preserve">5 </w:t>
      </w:r>
      <w:r w:rsidR="00063D10" w:rsidRPr="00202AEC">
        <w:t>blocs</w:t>
      </w:r>
      <w:r w:rsidRPr="00202AEC">
        <w:t xml:space="preserve"> </w:t>
      </w:r>
      <w:r w:rsidR="00047387" w:rsidRPr="00202AEC">
        <w:t xml:space="preserve">expérimentaux, soit 5 répétitions </w:t>
      </w:r>
      <w:r w:rsidR="00B07882">
        <w:t xml:space="preserve">par </w:t>
      </w:r>
      <w:r w:rsidRPr="00202AEC">
        <w:t xml:space="preserve">cible), trois indices de compliance ont été calculés pour chacun des 41 sujets </w:t>
      </w:r>
      <w:r w:rsidR="00F2725C" w:rsidRPr="00202AEC">
        <w:t>à l’aide d’un script R</w:t>
      </w:r>
      <w:r w:rsidR="00F2725C" w:rsidRPr="00202AEC">
        <w:sym w:font="Symbol" w:char="F0D2"/>
      </w:r>
      <w:r w:rsidR="00F2725C" w:rsidRPr="00202AEC">
        <w:t xml:space="preserve"> (Huet</w:t>
      </w:r>
      <w:r w:rsidR="005F72F5" w:rsidRPr="00202AEC">
        <w:t xml:space="preserve"> et al.</w:t>
      </w:r>
      <w:r w:rsidR="00F2725C" w:rsidRPr="00202AEC">
        <w:t>, 2012</w:t>
      </w:r>
      <w:r w:rsidR="00BC5DE7" w:rsidRPr="00202AEC">
        <w:t> </w:t>
      </w:r>
      <w:r w:rsidR="00F2725C" w:rsidRPr="00202AEC">
        <w:t xml:space="preserve">; Figure </w:t>
      </w:r>
      <w:r w:rsidR="00504D3D" w:rsidRPr="00202AEC">
        <w:t>1</w:t>
      </w:r>
      <w:r w:rsidR="00B024EC" w:rsidRPr="00202AEC">
        <w:t>(</w:t>
      </w:r>
      <w:r w:rsidRPr="00202AEC">
        <w:t>b</w:t>
      </w:r>
      <w:r w:rsidR="00B024EC" w:rsidRPr="00202AEC">
        <w:t>)</w:t>
      </w:r>
      <w:r w:rsidR="00F2725C" w:rsidRPr="00202AEC">
        <w:t xml:space="preserve">). Ces trois </w:t>
      </w:r>
      <w:r w:rsidR="00047387" w:rsidRPr="00202AEC">
        <w:t xml:space="preserve">métriques </w:t>
      </w:r>
      <w:r w:rsidR="00CA1358" w:rsidRPr="00202AEC">
        <w:t>évaluent</w:t>
      </w:r>
      <w:r w:rsidR="00F2725C" w:rsidRPr="00202AEC">
        <w:t xml:space="preserve"> le niveau de performance </w:t>
      </w:r>
      <w:r w:rsidRPr="00202AEC">
        <w:t>de</w:t>
      </w:r>
      <w:r w:rsidR="00CA1358" w:rsidRPr="00202AEC">
        <w:t xml:space="preserve">s </w:t>
      </w:r>
      <w:r w:rsidRPr="00202AEC">
        <w:t>individu</w:t>
      </w:r>
      <w:r w:rsidR="00CA1358" w:rsidRPr="00202AEC">
        <w:t>s</w:t>
      </w:r>
      <w:r w:rsidRPr="00202AEC">
        <w:t xml:space="preserve"> lors de la tâche de reproduction</w:t>
      </w:r>
      <w:r w:rsidR="00CA1358" w:rsidRPr="00202AEC">
        <w:t xml:space="preserve"> des voyelles ciblées</w:t>
      </w:r>
      <w:r w:rsidR="00D570F0" w:rsidRPr="00202AEC">
        <w:t xml:space="preserve">. </w:t>
      </w:r>
      <w:r w:rsidR="00047387" w:rsidRPr="00202AEC">
        <w:t>Elles</w:t>
      </w:r>
      <w:r w:rsidR="003F60FE" w:rsidRPr="00202AEC">
        <w:t xml:space="preserve"> sont complémentaires</w:t>
      </w:r>
      <w:r w:rsidR="00224A12">
        <w:t>,</w:t>
      </w:r>
      <w:r w:rsidR="003F60FE" w:rsidRPr="00202AEC">
        <w:t xml:space="preserve"> dans la mesure où chacun</w:t>
      </w:r>
      <w:r w:rsidR="00047387" w:rsidRPr="00202AEC">
        <w:t>e</w:t>
      </w:r>
      <w:r w:rsidR="003F60FE" w:rsidRPr="00202AEC">
        <w:t xml:space="preserve"> d’e</w:t>
      </w:r>
      <w:r w:rsidR="00047387" w:rsidRPr="00202AEC">
        <w:t>lles</w:t>
      </w:r>
      <w:r w:rsidR="003F60FE" w:rsidRPr="00202AEC">
        <w:t xml:space="preserve"> </w:t>
      </w:r>
      <w:r w:rsidR="001639D5">
        <w:t>explore</w:t>
      </w:r>
      <w:r w:rsidR="003F60FE" w:rsidRPr="00202AEC">
        <w:t xml:space="preserve"> une dimension particulière de la compliance phonique et fournit une mesure distincte (Huet et al</w:t>
      </w:r>
      <w:r w:rsidR="00407E61" w:rsidRPr="00202AEC">
        <w:t>.</w:t>
      </w:r>
      <w:r w:rsidR="003F60FE" w:rsidRPr="00202AEC">
        <w:t>, 2012).</w:t>
      </w:r>
      <w:r w:rsidR="00F2725C" w:rsidRPr="00202AEC">
        <w:t xml:space="preserve"> </w:t>
      </w:r>
    </w:p>
    <w:p w14:paraId="1B3B91CC" w14:textId="66E1BA57" w:rsidR="0065520E" w:rsidRPr="00202AEC" w:rsidRDefault="00F2725C" w:rsidP="00523012">
      <w:pPr>
        <w:snapToGrid w:val="0"/>
        <w:spacing w:line="360" w:lineRule="auto"/>
        <w:contextualSpacing/>
        <w:jc w:val="both"/>
      </w:pPr>
      <w:r w:rsidRPr="00202AEC">
        <w:t>L’indice</w:t>
      </w:r>
      <w:r w:rsidR="003F60FE" w:rsidRPr="00202AEC">
        <w:t xml:space="preserve"> 1</w:t>
      </w:r>
      <w:r w:rsidR="00047387" w:rsidRPr="00202AEC">
        <w:t xml:space="preserve"> est basé sur </w:t>
      </w:r>
      <w:r w:rsidR="003F60FE" w:rsidRPr="00202AEC">
        <w:t xml:space="preserve">le degré </w:t>
      </w:r>
      <w:r w:rsidR="00D570F0" w:rsidRPr="00202AEC">
        <w:t>de proximité acoustique</w:t>
      </w:r>
      <w:r w:rsidR="003F60FE" w:rsidRPr="00202AEC">
        <w:t xml:space="preserve"> entre les stimuli et les productions correspondantes</w:t>
      </w:r>
      <w:r w:rsidR="00047387" w:rsidRPr="00202AEC">
        <w:t xml:space="preserve"> d’un participant donné. Il</w:t>
      </w:r>
      <w:r w:rsidR="002F6352" w:rsidRPr="00202AEC">
        <w:t xml:space="preserve"> </w:t>
      </w:r>
      <w:r w:rsidRPr="00202AEC">
        <w:t>représente la moyenne des distances euclidiennes entre chacune des 94 voyelles synthétiques cibles (stimuli</w:t>
      </w:r>
      <w:r w:rsidR="00D570F0" w:rsidRPr="00202AEC">
        <w:t xml:space="preserve"> S</w:t>
      </w:r>
      <w:r w:rsidRPr="00202AEC">
        <w:t>) et les productions correspondantes</w:t>
      </w:r>
      <w:r w:rsidR="00D570F0" w:rsidRPr="00202AEC">
        <w:t xml:space="preserve"> (P)</w:t>
      </w:r>
      <w:r w:rsidRPr="00202AEC">
        <w:t xml:space="preserve"> </w:t>
      </w:r>
      <w:r w:rsidR="002F6352" w:rsidRPr="00202AEC">
        <w:t xml:space="preserve">du sujet </w:t>
      </w:r>
      <w:r w:rsidRPr="00202AEC">
        <w:t>dans l’espace F</w:t>
      </w:r>
      <w:r w:rsidR="007B19A5" w:rsidRPr="00202AEC">
        <w:t>1</w:t>
      </w:r>
      <w:r w:rsidR="00D570F0" w:rsidRPr="00202AEC">
        <w:t>-</w:t>
      </w:r>
      <w:r w:rsidRPr="00202AEC">
        <w:t>F2</w:t>
      </w:r>
      <w:r w:rsidR="00D570F0" w:rsidRPr="00202AEC">
        <w:t>-</w:t>
      </w:r>
      <w:r w:rsidRPr="00202AEC">
        <w:t>F3. Plus l’indice 1 est faible, plus la moyenne des distances euclidiennes est réduite, plus le sujet est considéré comme compliant et inversement.</w:t>
      </w:r>
      <w:r w:rsidR="0065520E" w:rsidRPr="00202AEC">
        <w:t xml:space="preserve"> Plus les productions se rapprochent de leur cible, plus l’indice tend vers 0.</w:t>
      </w:r>
    </w:p>
    <w:p w14:paraId="4EFD479C" w14:textId="77777777" w:rsidR="008B1B86" w:rsidRDefault="00E54BE3" w:rsidP="00523012">
      <w:pPr>
        <w:snapToGrid w:val="0"/>
        <w:spacing w:line="360" w:lineRule="auto"/>
        <w:contextualSpacing/>
        <w:jc w:val="both"/>
      </w:pPr>
      <w:r w:rsidRPr="00202AEC">
        <w:t xml:space="preserve">L’indice 2 </w:t>
      </w:r>
      <w:r w:rsidR="0097468E">
        <w:t>repose sur l’analyse de</w:t>
      </w:r>
      <w:r w:rsidRPr="00202AEC">
        <w:t xml:space="preserve"> la variance des variances </w:t>
      </w:r>
      <w:r w:rsidR="0097468E">
        <w:t>entre les</w:t>
      </w:r>
      <w:r w:rsidR="006848D5" w:rsidRPr="00202AEC">
        <w:t xml:space="preserve"> différentes </w:t>
      </w:r>
      <w:r w:rsidRPr="00202AEC">
        <w:t>reproductions d’une même cible</w:t>
      </w:r>
      <w:r w:rsidR="0097468E">
        <w:t xml:space="preserve">, </w:t>
      </w:r>
      <w:r w:rsidRPr="00202AEC">
        <w:t>c</w:t>
      </w:r>
      <w:r w:rsidR="00F2725C" w:rsidRPr="00202AEC">
        <w:t xml:space="preserve">hacune des 94 </w:t>
      </w:r>
      <w:r w:rsidR="0097468E">
        <w:t>voyelles</w:t>
      </w:r>
      <w:r w:rsidR="00F2725C" w:rsidRPr="00202AEC">
        <w:t xml:space="preserve"> ayant été répétée 5 fois</w:t>
      </w:r>
      <w:r w:rsidRPr="00202AEC">
        <w:t xml:space="preserve">. </w:t>
      </w:r>
      <w:r w:rsidR="008B1B86">
        <w:t>Il</w:t>
      </w:r>
      <w:r w:rsidR="006848D5" w:rsidRPr="00202AEC">
        <w:t xml:space="preserve"> mesure </w:t>
      </w:r>
      <w:r w:rsidR="008B1B86">
        <w:t xml:space="preserve">ainsi </w:t>
      </w:r>
      <w:r w:rsidR="006848D5" w:rsidRPr="00202AEC">
        <w:t xml:space="preserve">la manière dont la </w:t>
      </w:r>
      <w:r w:rsidRPr="00202AEC">
        <w:t xml:space="preserve">variance des distances euclidiennes entre </w:t>
      </w:r>
      <w:r w:rsidR="00427954" w:rsidRPr="00202AEC">
        <w:t>chaque</w:t>
      </w:r>
      <w:r w:rsidRPr="00202AEC">
        <w:t xml:space="preserve"> cible et les réponses qui lui sont associées</w:t>
      </w:r>
      <w:r w:rsidR="006848D5" w:rsidRPr="00202AEC">
        <w:t xml:space="preserve"> fluctue selon la cible considérée</w:t>
      </w:r>
      <w:r w:rsidRPr="00202AEC">
        <w:t xml:space="preserve">. </w:t>
      </w:r>
    </w:p>
    <w:p w14:paraId="4CB710C6" w14:textId="2D6F9193" w:rsidR="00F23281" w:rsidRDefault="00E54BE3" w:rsidP="00523012">
      <w:pPr>
        <w:snapToGrid w:val="0"/>
        <w:spacing w:line="360" w:lineRule="auto"/>
        <w:contextualSpacing/>
        <w:jc w:val="both"/>
      </w:pPr>
      <w:r w:rsidRPr="00202AEC">
        <w:t>Lors de la tâche de reproduction,</w:t>
      </w:r>
      <w:r w:rsidR="00C92A57" w:rsidRPr="00202AEC">
        <w:t xml:space="preserve"> </w:t>
      </w:r>
      <w:r w:rsidR="00770ED9" w:rsidRPr="00202AEC">
        <w:t>il est</w:t>
      </w:r>
      <w:r w:rsidR="00C92A57" w:rsidRPr="00202AEC">
        <w:t xml:space="preserve"> généralement</w:t>
      </w:r>
      <w:r w:rsidR="00770ED9" w:rsidRPr="00202AEC">
        <w:t xml:space="preserve"> possible d’</w:t>
      </w:r>
      <w:r w:rsidR="00C92A57" w:rsidRPr="00202AEC">
        <w:t>observer</w:t>
      </w:r>
      <w:r w:rsidRPr="00202AEC">
        <w:t xml:space="preserve"> </w:t>
      </w:r>
      <w:r w:rsidR="00C92A57" w:rsidRPr="00202AEC">
        <w:t>une certaine</w:t>
      </w:r>
      <w:r w:rsidR="00D81E96" w:rsidRPr="00202AEC">
        <w:t xml:space="preserve"> dispersion des </w:t>
      </w:r>
      <w:r w:rsidR="00186690" w:rsidRPr="00202AEC">
        <w:t>réalisations du sujet autour de la voyelle cible</w:t>
      </w:r>
      <w:r w:rsidR="008B1B86">
        <w:t xml:space="preserve"> : </w:t>
      </w:r>
      <w:r w:rsidR="00C92A57" w:rsidRPr="00202AEC">
        <w:t>certaines reproductions étant plus éloignées de la cible que d’autres. Si cette dispersion reste relativement constante, quel que soit le stimulus cible, le s</w:t>
      </w:r>
      <w:r w:rsidR="00C04F02" w:rsidRPr="00202AEC">
        <w:t>u</w:t>
      </w:r>
      <w:r w:rsidR="00C92A57" w:rsidRPr="00202AEC">
        <w:t>jet est considéré comme compliant. En</w:t>
      </w:r>
      <w:r w:rsidR="00D81E96" w:rsidRPr="00202AEC">
        <w:t xml:space="preserve"> revanche,</w:t>
      </w:r>
      <w:r w:rsidR="00186690" w:rsidRPr="00202AEC">
        <w:t xml:space="preserve"> </w:t>
      </w:r>
      <w:r w:rsidR="00C92A57" w:rsidRPr="00202AEC">
        <w:t>si la performance du sujet</w:t>
      </w:r>
      <w:r w:rsidR="00186690" w:rsidRPr="00202AEC">
        <w:t xml:space="preserve"> est fortement influencé</w:t>
      </w:r>
      <w:r w:rsidR="00D81E96" w:rsidRPr="00202AEC">
        <w:t>e</w:t>
      </w:r>
      <w:r w:rsidR="00186690" w:rsidRPr="00202AEC">
        <w:t xml:space="preserve"> par le système </w:t>
      </w:r>
      <w:r w:rsidR="00D81E96" w:rsidRPr="00202AEC">
        <w:t xml:space="preserve">phonologique </w:t>
      </w:r>
      <w:r w:rsidR="00186690" w:rsidRPr="00202AEC">
        <w:t xml:space="preserve">de sa </w:t>
      </w:r>
      <w:r w:rsidR="00B118E0" w:rsidRPr="00202AEC">
        <w:t>L1</w:t>
      </w:r>
      <w:r w:rsidR="00186690" w:rsidRPr="00202AEC">
        <w:t xml:space="preserve"> (</w:t>
      </w:r>
      <w:r w:rsidR="00BD757A" w:rsidRPr="00202AEC">
        <w:t xml:space="preserve">ici, </w:t>
      </w:r>
      <w:r w:rsidR="00186690" w:rsidRPr="00202AEC">
        <w:t xml:space="preserve">l’espagnol), la dispersion de ses </w:t>
      </w:r>
      <w:r w:rsidR="00C04F02" w:rsidRPr="00202AEC">
        <w:t>re</w:t>
      </w:r>
      <w:r w:rsidR="00186690" w:rsidRPr="00202AEC">
        <w:t xml:space="preserve">productions </w:t>
      </w:r>
      <w:r w:rsidR="00C92A57" w:rsidRPr="00202AEC">
        <w:t xml:space="preserve">autour d’une même cible </w:t>
      </w:r>
      <w:r w:rsidR="00186690" w:rsidRPr="00202AEC">
        <w:t>tendra à varier en fonction de la cible visée</w:t>
      </w:r>
      <w:r w:rsidR="00EB6E21" w:rsidRPr="00202AEC">
        <w:t xml:space="preserve">. Cette </w:t>
      </w:r>
      <w:r w:rsidR="00C04F02" w:rsidRPr="00202AEC">
        <w:t>variabilité des variances</w:t>
      </w:r>
      <w:r w:rsidR="00EB6E21" w:rsidRPr="00202AEC">
        <w:t xml:space="preserve"> dans les </w:t>
      </w:r>
      <w:r w:rsidR="00C04F02" w:rsidRPr="00202AEC">
        <w:t>re</w:t>
      </w:r>
      <w:r w:rsidR="00EB6E21" w:rsidRPr="00202AEC">
        <w:t xml:space="preserve">productions </w:t>
      </w:r>
      <w:r w:rsidR="00C04F02" w:rsidRPr="00202AEC">
        <w:t xml:space="preserve">de cibles plus </w:t>
      </w:r>
      <w:r w:rsidR="00C04F02" w:rsidRPr="00202AEC">
        <w:lastRenderedPageBreak/>
        <w:t xml:space="preserve">ou moins familières en L1 </w:t>
      </w:r>
      <w:r w:rsidR="00047387" w:rsidRPr="00202AEC">
        <w:t xml:space="preserve">peut être associée à </w:t>
      </w:r>
      <w:r w:rsidR="00EB6E21" w:rsidRPr="00202AEC">
        <w:t>un phénomène connu sous le nom d’</w:t>
      </w:r>
      <w:r w:rsidR="00186690" w:rsidRPr="00202AEC">
        <w:t>effet d’aimantation perceptuelle</w:t>
      </w:r>
      <w:r w:rsidR="003B495D" w:rsidRPr="00202AEC">
        <w:t xml:space="preserve">. </w:t>
      </w:r>
      <w:r w:rsidR="00EB6E21" w:rsidRPr="00202AEC">
        <w:t>Comme le décrit</w:t>
      </w:r>
      <w:r w:rsidR="003B495D" w:rsidRPr="00202AEC">
        <w:t xml:space="preserve"> Kuhl (1991)</w:t>
      </w:r>
      <w:r w:rsidR="00EB6E21" w:rsidRPr="00202AEC">
        <w:t>,</w:t>
      </w:r>
      <w:r w:rsidR="007A6394" w:rsidRPr="00202AEC">
        <w:t xml:space="preserve"> </w:t>
      </w:r>
      <w:r w:rsidR="00EB6E21" w:rsidRPr="00202AEC">
        <w:t>cet effet traduit la</w:t>
      </w:r>
      <w:r w:rsidR="00D916D6" w:rsidRPr="00202AEC">
        <w:t xml:space="preserve"> tendance naturelle des locuteurs à percevoir les sons d’une langue étrangère en fonction des catégories </w:t>
      </w:r>
      <w:r w:rsidR="00EB6E21" w:rsidRPr="00202AEC">
        <w:t>phonologiques</w:t>
      </w:r>
      <w:r w:rsidR="00D916D6" w:rsidRPr="00202AEC">
        <w:t xml:space="preserve"> déjà établies dans leur L1. Autrement dit, les sons de la langue cible</w:t>
      </w:r>
      <w:r w:rsidR="001639D5">
        <w:t>,</w:t>
      </w:r>
      <w:r w:rsidR="00D916D6" w:rsidRPr="00202AEC">
        <w:t xml:space="preserve"> </w:t>
      </w:r>
      <w:r w:rsidR="001639D5">
        <w:t xml:space="preserve">qui sont </w:t>
      </w:r>
      <w:r w:rsidR="00C04F02" w:rsidRPr="00202AEC">
        <w:t>acoustiquement proches</w:t>
      </w:r>
      <w:r w:rsidR="00D916D6" w:rsidRPr="00202AEC">
        <w:t xml:space="preserve"> de sons familiers de la langue maternelle</w:t>
      </w:r>
      <w:r w:rsidR="001639D5">
        <w:t>,</w:t>
      </w:r>
      <w:r w:rsidR="00D916D6" w:rsidRPr="00202AEC">
        <w:t xml:space="preserve"> sont «</w:t>
      </w:r>
      <w:r w:rsidR="00BC5DE7" w:rsidRPr="00202AEC">
        <w:t> </w:t>
      </w:r>
      <w:r w:rsidR="00D916D6" w:rsidRPr="00202AEC">
        <w:t>attirés</w:t>
      </w:r>
      <w:r w:rsidR="00BC5DE7" w:rsidRPr="00202AEC">
        <w:t> </w:t>
      </w:r>
      <w:r w:rsidR="00D916D6" w:rsidRPr="00202AEC">
        <w:t xml:space="preserve">» ou assimilés par ces catégories </w:t>
      </w:r>
      <w:r w:rsidR="00C04F02" w:rsidRPr="00202AEC">
        <w:t>pré</w:t>
      </w:r>
      <w:r w:rsidR="00D916D6" w:rsidRPr="00202AEC">
        <w:t xml:space="preserve">existantes. Cette attraction perceptuelle </w:t>
      </w:r>
      <w:r w:rsidR="00C500A0" w:rsidRPr="00202AEC">
        <w:t>entrave la capacité à percevoir</w:t>
      </w:r>
      <w:r w:rsidR="00D916D6" w:rsidRPr="00202AEC">
        <w:t xml:space="preserve"> </w:t>
      </w:r>
      <w:r w:rsidR="00C500A0" w:rsidRPr="00202AEC">
        <w:t>avec précision</w:t>
      </w:r>
      <w:r w:rsidR="00D916D6" w:rsidRPr="00202AEC">
        <w:t xml:space="preserve"> ou </w:t>
      </w:r>
      <w:r w:rsidR="00C500A0" w:rsidRPr="00202AEC">
        <w:t>à reproduire fidèlement</w:t>
      </w:r>
      <w:r w:rsidR="00D916D6" w:rsidRPr="00202AEC">
        <w:t xml:space="preserve"> des sons étrangers. </w:t>
      </w:r>
      <w:r w:rsidR="00B848DA" w:rsidRPr="00202AEC">
        <w:t>Par conséquen</w:t>
      </w:r>
      <w:r w:rsidR="0076634E" w:rsidRPr="00202AEC">
        <w:t>t</w:t>
      </w:r>
      <w:r w:rsidR="00734506" w:rsidRPr="00202AEC">
        <w:t>,</w:t>
      </w:r>
      <w:r w:rsidR="00B848DA" w:rsidRPr="00202AEC">
        <w:t xml:space="preserve"> dans le cas qui nous occupe,</w:t>
      </w:r>
      <w:r w:rsidR="00734506" w:rsidRPr="00202AEC">
        <w:t xml:space="preserve"> la variance sera plus ou moins grande selon que la cible est plus ou moins éloignée d’une zone de l’espace vocalique prototypique d’une </w:t>
      </w:r>
      <w:r w:rsidR="00770ED9" w:rsidRPr="00202AEC">
        <w:t xml:space="preserve">des </w:t>
      </w:r>
      <w:r w:rsidR="00734506" w:rsidRPr="00202AEC">
        <w:t xml:space="preserve">voyelles de la langue maternelle. </w:t>
      </w:r>
      <w:r w:rsidR="00770ED9" w:rsidRPr="00202AEC">
        <w:t>Tout comme le premier indice, l</w:t>
      </w:r>
      <w:r w:rsidR="00D81E96" w:rsidRPr="00202AEC">
        <w:t xml:space="preserve">’indice 2 </w:t>
      </w:r>
      <w:r w:rsidR="00405AC8" w:rsidRPr="00202AEC">
        <w:t>tendra lui aussi vers 0 si le sujet est compliant</w:t>
      </w:r>
      <w:r w:rsidR="00234D84" w:rsidRPr="00202AEC">
        <w:t xml:space="preserve"> (voir Figure 1(b))</w:t>
      </w:r>
      <w:r w:rsidR="00405AC8" w:rsidRPr="00202AEC">
        <w:t>.</w:t>
      </w:r>
    </w:p>
    <w:p w14:paraId="0CCEDFB0" w14:textId="1A04A61B" w:rsidR="007A060E" w:rsidRDefault="007A060E" w:rsidP="00523012">
      <w:pPr>
        <w:snapToGrid w:val="0"/>
        <w:spacing w:line="360" w:lineRule="auto"/>
        <w:contextualSpacing/>
        <w:jc w:val="both"/>
      </w:pPr>
      <w:r>
        <w:t xml:space="preserve">Dans la tâche considérée ici, chaque voyelle produite par un locuteur résulte à la fois de l’influence de la cible à reproduire et de ses propres routines de production, façonnées par son </w:t>
      </w:r>
      <w:r w:rsidR="00E63FA2">
        <w:t xml:space="preserve"> </w:t>
      </w:r>
      <w:r>
        <w:t>système phonologique</w:t>
      </w:r>
      <w:r w:rsidR="00E32F1D">
        <w:t xml:space="preserve"> </w:t>
      </w:r>
      <w:r w:rsidR="00D04354">
        <w:t>initial.</w:t>
      </w:r>
      <w:r w:rsidR="00E32F1D">
        <w:t xml:space="preserve"> </w:t>
      </w:r>
      <w:r>
        <w:t>Un sujet est considéré comme d’autant plus compliant que ses productions sont davantage guidées par la cible que par ses habitudes de prononciation.</w:t>
      </w:r>
    </w:p>
    <w:p w14:paraId="3B911B14" w14:textId="3D7044CD" w:rsidR="008C6795" w:rsidRPr="00202AEC" w:rsidRDefault="003333B5" w:rsidP="00523012">
      <w:pPr>
        <w:snapToGrid w:val="0"/>
        <w:spacing w:line="360" w:lineRule="auto"/>
        <w:contextualSpacing/>
        <w:jc w:val="both"/>
      </w:pPr>
      <w:r w:rsidRPr="00202AEC">
        <w:t xml:space="preserve">L’indice 3 permet de vérifier si le locuteur est capable de s’affranchir de ses habitudes phonétiques </w:t>
      </w:r>
      <w:r w:rsidR="00956F7C" w:rsidRPr="00202AEC">
        <w:t xml:space="preserve">spécifiques </w:t>
      </w:r>
      <w:r w:rsidRPr="00202AEC">
        <w:t xml:space="preserve">et d’explorer des zones de l’espace vocalique non utilisées par le système </w:t>
      </w:r>
      <w:r w:rsidR="00956F7C" w:rsidRPr="00202AEC">
        <w:t>propre à</w:t>
      </w:r>
      <w:r w:rsidRPr="00202AEC">
        <w:t xml:space="preserve"> sa </w:t>
      </w:r>
      <w:r w:rsidR="00B118E0" w:rsidRPr="00202AEC">
        <w:t>L1</w:t>
      </w:r>
      <w:r w:rsidRPr="00202AEC">
        <w:t xml:space="preserve">. </w:t>
      </w:r>
      <w:r w:rsidR="00047387" w:rsidRPr="00202AEC">
        <w:t xml:space="preserve">Concrètement, le calcul de cet indice intègre un facteur mesurant la distance entre chaque reproduction d’une cible et les clusters vocaliques caractérisant la langue maternelle du sujet, c’est-à-dire que </w:t>
      </w:r>
      <w:r w:rsidR="0024526A" w:rsidRPr="00202AEC">
        <w:t xml:space="preserve">les distances entre stimuli et réponses </w:t>
      </w:r>
      <w:r w:rsidR="00047387" w:rsidRPr="00202AEC">
        <w:t xml:space="preserve">sont pondérées </w:t>
      </w:r>
      <w:r w:rsidR="0024526A" w:rsidRPr="00202AEC">
        <w:t xml:space="preserve">en fonction des </w:t>
      </w:r>
      <w:r w:rsidR="00956F7C" w:rsidRPr="00202AEC">
        <w:t>spécificités liées aux «</w:t>
      </w:r>
      <w:r w:rsidR="00BC5DE7" w:rsidRPr="00202AEC">
        <w:t> </w:t>
      </w:r>
      <w:r w:rsidR="00956F7C" w:rsidRPr="00202AEC">
        <w:t>routines phonétiques</w:t>
      </w:r>
      <w:r w:rsidR="00BC5DE7" w:rsidRPr="00202AEC">
        <w:t> </w:t>
      </w:r>
      <w:r w:rsidR="00956F7C" w:rsidRPr="00202AEC">
        <w:t xml:space="preserve">» </w:t>
      </w:r>
      <w:r w:rsidR="000F7E84" w:rsidRPr="00202AEC">
        <w:t>du locuteur</w:t>
      </w:r>
      <w:r w:rsidR="00047387" w:rsidRPr="00202AEC">
        <w:t>.</w:t>
      </w:r>
      <w:r w:rsidR="0024526A" w:rsidRPr="00202AEC">
        <w:t xml:space="preserve"> </w:t>
      </w:r>
      <w:r w:rsidR="007F78B0">
        <w:t xml:space="preserve">Ces routines sont représentées par cinq </w:t>
      </w:r>
      <w:r w:rsidR="00956F7C" w:rsidRPr="00202AEC">
        <w:t xml:space="preserve">centroïdes </w:t>
      </w:r>
      <w:r w:rsidR="007F78B0">
        <w:t xml:space="preserve">correspondant aux voyelles de l’espagnol, calculés à partir </w:t>
      </w:r>
      <w:r w:rsidR="007F78B0" w:rsidRPr="007F78B0">
        <w:t xml:space="preserve">des moyennes formantiques </w:t>
      </w:r>
      <w:r w:rsidR="0047739A">
        <w:t xml:space="preserve">issues </w:t>
      </w:r>
      <w:r w:rsidR="007F78B0" w:rsidRPr="007F78B0">
        <w:t xml:space="preserve">des </w:t>
      </w:r>
      <w:r w:rsidR="0047739A">
        <w:t>dix</w:t>
      </w:r>
      <w:r w:rsidR="007F78B0" w:rsidRPr="007F78B0">
        <w:t xml:space="preserve"> répétitions enregistrées lors de </w:t>
      </w:r>
      <w:r w:rsidR="0047739A">
        <w:t>la première phase</w:t>
      </w:r>
      <w:r w:rsidR="00956F7C" w:rsidRPr="00202AEC">
        <w:t xml:space="preserve"> du recueil des données</w:t>
      </w:r>
      <w:r w:rsidR="007F78B0">
        <w:t xml:space="preserve"> (voir </w:t>
      </w:r>
      <w:r w:rsidR="0047739A">
        <w:t>3.2</w:t>
      </w:r>
      <w:r w:rsidR="007F78B0">
        <w:t>)</w:t>
      </w:r>
      <w:r w:rsidR="00731284" w:rsidRPr="00202AEC">
        <w:t xml:space="preserve">. </w:t>
      </w:r>
      <w:r w:rsidR="00564882" w:rsidRPr="00202AEC">
        <w:t xml:space="preserve">Ainsi, la distance euclidienne entre </w:t>
      </w:r>
      <w:r w:rsidR="00956F7C" w:rsidRPr="00202AEC">
        <w:t>chaque</w:t>
      </w:r>
      <w:r w:rsidR="00564882" w:rsidRPr="00202AEC">
        <w:t xml:space="preserve"> réalisation et </w:t>
      </w:r>
      <w:r w:rsidR="00956F7C" w:rsidRPr="00202AEC">
        <w:t xml:space="preserve">sa </w:t>
      </w:r>
      <w:r w:rsidR="00564882" w:rsidRPr="00202AEC">
        <w:t xml:space="preserve">cible </w:t>
      </w:r>
      <w:r w:rsidR="00956F7C" w:rsidRPr="00202AEC">
        <w:t>est</w:t>
      </w:r>
      <w:r w:rsidR="00564882" w:rsidRPr="00202AEC">
        <w:t xml:space="preserve"> multipliée </w:t>
      </w:r>
      <w:r w:rsidR="00956F7C" w:rsidRPr="00202AEC">
        <w:t>par un facteur exprimant l’inverse de la distance entre cette production et les cinq</w:t>
      </w:r>
      <w:r w:rsidR="00564882" w:rsidRPr="00202AEC">
        <w:t xml:space="preserve"> centroïde</w:t>
      </w:r>
      <w:r w:rsidR="00956F7C" w:rsidRPr="00202AEC">
        <w:t>s</w:t>
      </w:r>
      <w:r w:rsidR="00564882" w:rsidRPr="00202AEC">
        <w:t xml:space="preserve"> </w:t>
      </w:r>
      <w:r w:rsidR="00956F7C" w:rsidRPr="00202AEC">
        <w:t>associés aux voyelles de l’espagnol produites par le participant concerné.</w:t>
      </w:r>
      <w:r w:rsidR="00564882" w:rsidRPr="00202AEC">
        <w:t xml:space="preserve"> </w:t>
      </w:r>
      <w:r w:rsidR="00C56FD1" w:rsidRPr="00202AEC">
        <w:t xml:space="preserve">En d’autres termes, pour que le sujet soit compliant, il faut, ici, que ses productions </w:t>
      </w:r>
      <w:r w:rsidR="005B6C59" w:rsidRPr="00202AEC">
        <w:t>se rapprochent des modèle</w:t>
      </w:r>
      <w:r w:rsidR="0080471C">
        <w:t>s</w:t>
      </w:r>
      <w:r w:rsidR="005B6C59" w:rsidRPr="00202AEC">
        <w:t xml:space="preserve"> ciblés tout en s’éloignant de ses clusters espagnols. </w:t>
      </w:r>
    </w:p>
    <w:p w14:paraId="281683D4" w14:textId="57EED3E1" w:rsidR="003E19C9" w:rsidRDefault="00047387" w:rsidP="00523012">
      <w:pPr>
        <w:snapToGrid w:val="0"/>
        <w:spacing w:line="360" w:lineRule="auto"/>
        <w:contextualSpacing/>
        <w:jc w:val="both"/>
      </w:pPr>
      <w:r w:rsidRPr="00202AEC">
        <w:t>Deux types de données métriques</w:t>
      </w:r>
      <w:r w:rsidR="005D6A32">
        <w:t xml:space="preserve">, </w:t>
      </w:r>
      <w:r w:rsidRPr="00202AEC">
        <w:t xml:space="preserve">destinés à </w:t>
      </w:r>
      <w:r w:rsidR="005D6A32">
        <w:t>constituer</w:t>
      </w:r>
      <w:r w:rsidRPr="00202AEC">
        <w:t xml:space="preserve"> les variables dépendantes des analyses à mener</w:t>
      </w:r>
      <w:r w:rsidR="005D6A32">
        <w:t xml:space="preserve">, </w:t>
      </w:r>
      <w:r w:rsidRPr="00202AEC">
        <w:t xml:space="preserve">sont </w:t>
      </w:r>
      <w:r w:rsidR="005D6A32">
        <w:t>ainsi</w:t>
      </w:r>
      <w:r w:rsidRPr="00202AEC">
        <w:t xml:space="preserve"> disponibles </w:t>
      </w:r>
      <w:r w:rsidR="005D6A32">
        <w:t>à l’issue</w:t>
      </w:r>
      <w:r w:rsidRPr="00202AEC">
        <w:t xml:space="preserve"> de la mise en œuvre de ce protocole expérimental. D’une part, pour chaque participant</w:t>
      </w:r>
      <w:r w:rsidR="005D6A32">
        <w:t xml:space="preserve">, </w:t>
      </w:r>
      <w:r w:rsidRPr="00202AEC">
        <w:t xml:space="preserve">on dispose de 470 points de mesure correspondant </w:t>
      </w:r>
      <w:r w:rsidR="005D6A32">
        <w:t>aux</w:t>
      </w:r>
      <w:r w:rsidRPr="00202AEC">
        <w:t xml:space="preserve"> distance</w:t>
      </w:r>
      <w:r w:rsidR="005D6A32">
        <w:t>s</w:t>
      </w:r>
      <w:r w:rsidRPr="00202AEC">
        <w:t xml:space="preserve"> euclidienne</w:t>
      </w:r>
      <w:r w:rsidR="005D6A32">
        <w:t>s</w:t>
      </w:r>
      <w:r w:rsidRPr="00202AEC">
        <w:t xml:space="preserve"> entre cible</w:t>
      </w:r>
      <w:r w:rsidR="008C6795" w:rsidRPr="00202AEC">
        <w:t>s</w:t>
      </w:r>
      <w:r w:rsidRPr="00202AEC">
        <w:t xml:space="preserve"> et reproduction</w:t>
      </w:r>
      <w:r w:rsidR="008C6795" w:rsidRPr="00202AEC">
        <w:t>s</w:t>
      </w:r>
      <w:r w:rsidRPr="00202AEC">
        <w:t xml:space="preserve"> dans l’espace tri-formantique</w:t>
      </w:r>
      <w:r w:rsidR="008024A6">
        <w:t xml:space="preserve"> (F1-F2-F3)</w:t>
      </w:r>
      <w:r w:rsidR="005D6A32">
        <w:t>. D’autre</w:t>
      </w:r>
      <w:r w:rsidRPr="00202AEC">
        <w:t xml:space="preserve"> part, trois indices de compliance</w:t>
      </w:r>
      <w:r w:rsidR="005D6A32">
        <w:t xml:space="preserve"> ont été calculés pour chaque individu</w:t>
      </w:r>
      <w:r w:rsidR="003E19C9">
        <w:t xml:space="preserve">, chacun </w:t>
      </w:r>
      <w:r w:rsidR="003E19C9">
        <w:lastRenderedPageBreak/>
        <w:t xml:space="preserve">synthétisant en une seule valeur l’ensemble des performances à la tâche (le troisième indice intégrant également les informations issues de la production des voyelles natives). </w:t>
      </w:r>
    </w:p>
    <w:p w14:paraId="3FAFA281" w14:textId="3804FF85" w:rsidR="005B6C59" w:rsidRPr="00202AEC" w:rsidRDefault="00047387" w:rsidP="00523012">
      <w:pPr>
        <w:snapToGrid w:val="0"/>
        <w:spacing w:line="360" w:lineRule="auto"/>
        <w:contextualSpacing/>
        <w:jc w:val="both"/>
      </w:pPr>
      <w:r w:rsidRPr="00202AEC">
        <w:t>L</w:t>
      </w:r>
      <w:r w:rsidR="0094553A" w:rsidRPr="00202AEC">
        <w:t>es</w:t>
      </w:r>
      <w:r w:rsidR="00F64014" w:rsidRPr="00202AEC">
        <w:t xml:space="preserve"> analyses statistiques ont été réalisées à l’aide du logiciel SPSS</w:t>
      </w:r>
      <w:r w:rsidR="00F64014" w:rsidRPr="00202AEC">
        <w:sym w:font="Symbol" w:char="F0D2"/>
      </w:r>
      <w:r w:rsidR="003E19C9">
        <w:t xml:space="preserve">, </w:t>
      </w:r>
      <w:r w:rsidR="00F64014" w:rsidRPr="00202AEC">
        <w:t>version 26.0.</w:t>
      </w:r>
    </w:p>
    <w:p w14:paraId="7969219D" w14:textId="4C63534A" w:rsidR="006D7706" w:rsidRPr="00202AEC" w:rsidRDefault="006D7706" w:rsidP="00DF24FC">
      <w:pPr>
        <w:snapToGrid w:val="0"/>
        <w:spacing w:line="360" w:lineRule="auto"/>
        <w:ind w:firstLine="360"/>
        <w:contextualSpacing/>
        <w:jc w:val="both"/>
      </w:pPr>
    </w:p>
    <w:p w14:paraId="197F1B2C" w14:textId="77777777" w:rsidR="00523012" w:rsidRPr="00202AEC" w:rsidRDefault="00523012" w:rsidP="00DF24FC">
      <w:pPr>
        <w:snapToGrid w:val="0"/>
        <w:spacing w:line="360" w:lineRule="auto"/>
        <w:ind w:firstLine="360"/>
        <w:contextualSpacing/>
        <w:jc w:val="both"/>
      </w:pPr>
    </w:p>
    <w:p w14:paraId="554D1978" w14:textId="4FD94BAB" w:rsidR="00460F3E" w:rsidRPr="00A51245" w:rsidRDefault="00F36923" w:rsidP="00A51245">
      <w:pPr>
        <w:pStyle w:val="Paragraphedeliste"/>
        <w:numPr>
          <w:ilvl w:val="0"/>
          <w:numId w:val="1"/>
        </w:numPr>
        <w:snapToGrid w:val="0"/>
        <w:spacing w:line="360" w:lineRule="auto"/>
        <w:jc w:val="both"/>
        <w:rPr>
          <w:b/>
          <w:bCs/>
        </w:rPr>
      </w:pPr>
      <w:r w:rsidRPr="00202AEC">
        <w:rPr>
          <w:b/>
          <w:bCs/>
        </w:rPr>
        <w:t>Analyse des résultats</w:t>
      </w:r>
    </w:p>
    <w:p w14:paraId="47017F84" w14:textId="77777777" w:rsidR="00414AD9" w:rsidRDefault="00460F3E" w:rsidP="00523012">
      <w:pPr>
        <w:snapToGrid w:val="0"/>
        <w:spacing w:line="360" w:lineRule="auto"/>
        <w:contextualSpacing/>
        <w:jc w:val="both"/>
      </w:pPr>
      <w:r w:rsidRPr="00202AEC">
        <w:t xml:space="preserve">Cette section </w:t>
      </w:r>
      <w:r w:rsidR="00047387" w:rsidRPr="00202AEC">
        <w:t>est</w:t>
      </w:r>
      <w:r w:rsidRPr="00202AEC">
        <w:t xml:space="preserve"> structurée en </w:t>
      </w:r>
      <w:r w:rsidR="00047387" w:rsidRPr="00202AEC">
        <w:t>deux étapes</w:t>
      </w:r>
      <w:r w:rsidRPr="00202AEC">
        <w:t xml:space="preserve">. </w:t>
      </w:r>
      <w:r w:rsidR="00600554" w:rsidRPr="00202AEC">
        <w:t>Dans un premier temps</w:t>
      </w:r>
      <w:r w:rsidRPr="00202AEC">
        <w:t xml:space="preserve">, nous examinons </w:t>
      </w:r>
      <w:r w:rsidR="00047387" w:rsidRPr="00202AEC">
        <w:t xml:space="preserve">l’effet des variables associées à la tâche (bloc, voyelle) et au locuteur </w:t>
      </w:r>
      <w:r w:rsidR="00D270F7" w:rsidRPr="00202AEC">
        <w:t xml:space="preserve">(individu, genre) </w:t>
      </w:r>
      <w:r w:rsidR="00047387" w:rsidRPr="00202AEC">
        <w:t xml:space="preserve">sur </w:t>
      </w:r>
      <w:r w:rsidR="000D04A4" w:rsidRPr="00202AEC">
        <w:t>les</w:t>
      </w:r>
      <w:r w:rsidR="00600554" w:rsidRPr="00202AEC">
        <w:t xml:space="preserve"> distances euclidiennes entre </w:t>
      </w:r>
      <w:r w:rsidR="00047387" w:rsidRPr="00202AEC">
        <w:t xml:space="preserve">productions et cibles (470 </w:t>
      </w:r>
      <w:r w:rsidR="00C46093" w:rsidRPr="00202AEC">
        <w:t xml:space="preserve">valeurs </w:t>
      </w:r>
      <w:r w:rsidR="00047387" w:rsidRPr="00202AEC">
        <w:t>par participant)</w:t>
      </w:r>
      <w:r w:rsidR="00414AD9">
        <w:t>,</w:t>
      </w:r>
      <w:r w:rsidR="00047387" w:rsidRPr="00202AEC">
        <w:t xml:space="preserve"> au moyen d’analyses de variance. Il s’agit ici de caractériser les performances </w:t>
      </w:r>
      <w:r w:rsidR="00D270F7" w:rsidRPr="00202AEC">
        <w:t>des</w:t>
      </w:r>
      <w:r w:rsidR="00047387" w:rsidRPr="00202AEC">
        <w:t xml:space="preserve"> participants </w:t>
      </w:r>
      <w:r w:rsidR="00D270F7" w:rsidRPr="00202AEC">
        <w:t xml:space="preserve">en tant que groupe, </w:t>
      </w:r>
      <w:r w:rsidR="00047387" w:rsidRPr="00202AEC">
        <w:t xml:space="preserve">et d’étudier quels facteurs sont susceptibles de les influencer. </w:t>
      </w:r>
    </w:p>
    <w:p w14:paraId="4363BF7A" w14:textId="77777777" w:rsidR="00414AD9" w:rsidRDefault="00414AD9" w:rsidP="00523012">
      <w:pPr>
        <w:snapToGrid w:val="0"/>
        <w:spacing w:line="360" w:lineRule="auto"/>
        <w:contextualSpacing/>
        <w:jc w:val="both"/>
      </w:pPr>
      <w:r>
        <w:t>Dans un second temps</w:t>
      </w:r>
      <w:r w:rsidR="00460F3E" w:rsidRPr="00202AEC">
        <w:t xml:space="preserve">, nous </w:t>
      </w:r>
      <w:r w:rsidR="00047387" w:rsidRPr="00202AEC">
        <w:t xml:space="preserve">comparons </w:t>
      </w:r>
      <w:r w:rsidR="00460F3E" w:rsidRPr="00202AEC">
        <w:t xml:space="preserve">les performances </w:t>
      </w:r>
      <w:r w:rsidR="005E2EE8" w:rsidRPr="00202AEC">
        <w:t xml:space="preserve">individuelles </w:t>
      </w:r>
      <w:r w:rsidR="00460F3E" w:rsidRPr="00202AEC">
        <w:t>des participants</w:t>
      </w:r>
      <w:r w:rsidR="000D04A4" w:rsidRPr="00202AEC">
        <w:t xml:space="preserve"> </w:t>
      </w:r>
      <w:r>
        <w:t xml:space="preserve">à partir des </w:t>
      </w:r>
      <w:r w:rsidR="00600554" w:rsidRPr="00202AEC">
        <w:t>trois indices de compliance phonique</w:t>
      </w:r>
      <w:r>
        <w:t xml:space="preserve"> : </w:t>
      </w:r>
      <w:r w:rsidR="00745F7A" w:rsidRPr="00202AEC">
        <w:t>la proximité acoustique entre cibles et</w:t>
      </w:r>
      <w:r w:rsidR="00600554" w:rsidRPr="00202AEC">
        <w:t xml:space="preserve"> reproductions (indice 1), la variance des variances en fonction de la cible (indice 2)</w:t>
      </w:r>
      <w:r>
        <w:t>,</w:t>
      </w:r>
      <w:r w:rsidR="00600554" w:rsidRPr="00202AEC">
        <w:t xml:space="preserve"> et la capacité à s’éloigner des schémas </w:t>
      </w:r>
      <w:r w:rsidR="00745F7A" w:rsidRPr="00202AEC">
        <w:t>phonétiques</w:t>
      </w:r>
      <w:r w:rsidR="00600554" w:rsidRPr="00202AEC">
        <w:t xml:space="preserve"> de la langue maternelle (indice 3)</w:t>
      </w:r>
      <w:r w:rsidR="00460F3E" w:rsidRPr="00202AEC">
        <w:t xml:space="preserve">. </w:t>
      </w:r>
    </w:p>
    <w:p w14:paraId="712E72FE" w14:textId="76A342A1" w:rsidR="00460F3E" w:rsidRPr="00202AEC" w:rsidRDefault="00460F3E" w:rsidP="00523012">
      <w:pPr>
        <w:snapToGrid w:val="0"/>
        <w:spacing w:line="360" w:lineRule="auto"/>
        <w:contextualSpacing/>
        <w:jc w:val="both"/>
      </w:pPr>
      <w:r w:rsidRPr="00202AEC">
        <w:t xml:space="preserve">Cette approche </w:t>
      </w:r>
      <w:r w:rsidR="00047387" w:rsidRPr="00202AEC">
        <w:t xml:space="preserve">en deux </w:t>
      </w:r>
      <w:r w:rsidR="00414AD9">
        <w:t>temps</w:t>
      </w:r>
      <w:r w:rsidR="00047387" w:rsidRPr="00202AEC">
        <w:t xml:space="preserve"> </w:t>
      </w:r>
      <w:r w:rsidRPr="00202AEC">
        <w:t>permet d’articuler une vision globale des résultats</w:t>
      </w:r>
      <w:r w:rsidR="00414AD9">
        <w:t>,</w:t>
      </w:r>
      <w:r w:rsidRPr="00202AEC">
        <w:t xml:space="preserve"> avant de passer à une exploration plus fine des variations interindividuelles.</w:t>
      </w:r>
    </w:p>
    <w:p w14:paraId="4229E00E" w14:textId="77777777" w:rsidR="00460F3E" w:rsidRPr="00202AEC" w:rsidRDefault="00460F3E" w:rsidP="00DF24FC">
      <w:pPr>
        <w:snapToGrid w:val="0"/>
        <w:spacing w:line="360" w:lineRule="auto"/>
        <w:contextualSpacing/>
        <w:jc w:val="both"/>
      </w:pPr>
    </w:p>
    <w:p w14:paraId="723EE3CC" w14:textId="7CE925DE" w:rsidR="00FE1B88" w:rsidRPr="00A51245" w:rsidRDefault="00FC73DF" w:rsidP="00A51245">
      <w:pPr>
        <w:pStyle w:val="Paragraphedeliste"/>
        <w:numPr>
          <w:ilvl w:val="1"/>
          <w:numId w:val="1"/>
        </w:numPr>
        <w:snapToGrid w:val="0"/>
        <w:spacing w:line="360" w:lineRule="auto"/>
        <w:ind w:hanging="87"/>
        <w:jc w:val="both"/>
        <w:rPr>
          <w:b/>
          <w:bCs/>
        </w:rPr>
      </w:pPr>
      <w:r w:rsidRPr="00202AEC">
        <w:rPr>
          <w:b/>
          <w:bCs/>
        </w:rPr>
        <w:t>Distances euclidiennes entre productions</w:t>
      </w:r>
      <w:r w:rsidR="0023275D" w:rsidRPr="00202AEC">
        <w:rPr>
          <w:b/>
          <w:bCs/>
        </w:rPr>
        <w:t xml:space="preserve"> et cibles</w:t>
      </w:r>
    </w:p>
    <w:p w14:paraId="04B1C814" w14:textId="458BA439" w:rsidR="009E0380" w:rsidRPr="00202AEC" w:rsidRDefault="00D270F7" w:rsidP="00523012">
      <w:pPr>
        <w:snapToGrid w:val="0"/>
        <w:spacing w:line="360" w:lineRule="auto"/>
        <w:contextualSpacing/>
        <w:jc w:val="both"/>
      </w:pPr>
      <w:r w:rsidRPr="00202AEC">
        <w:t>Différentes</w:t>
      </w:r>
      <w:r w:rsidR="00466628" w:rsidRPr="00202AEC">
        <w:t xml:space="preserve"> analyses de</w:t>
      </w:r>
      <w:r w:rsidR="00631558" w:rsidRPr="00202AEC">
        <w:t xml:space="preserve"> variance</w:t>
      </w:r>
      <w:r w:rsidR="00466628" w:rsidRPr="00202AEC">
        <w:t xml:space="preserve"> </w:t>
      </w:r>
      <w:r w:rsidR="00631558" w:rsidRPr="00202AEC">
        <w:t>(ANOVA)</w:t>
      </w:r>
      <w:r w:rsidRPr="00202AEC">
        <w:t xml:space="preserve"> ont été réalisées</w:t>
      </w:r>
      <w:r w:rsidR="00745F7A" w:rsidRPr="00202AEC">
        <w:t xml:space="preserve"> avec</w:t>
      </w:r>
      <w:r w:rsidR="00414428">
        <w:t>,</w:t>
      </w:r>
      <w:r w:rsidR="00745F7A" w:rsidRPr="00202AEC">
        <w:t xml:space="preserve"> pour variable dépendante</w:t>
      </w:r>
      <w:r w:rsidR="00414428">
        <w:t>,</w:t>
      </w:r>
      <w:r w:rsidR="00745F7A" w:rsidRPr="00202AEC">
        <w:t xml:space="preserve"> la distance (en mels) entre </w:t>
      </w:r>
      <w:r w:rsidR="00414428">
        <w:t xml:space="preserve">la </w:t>
      </w:r>
      <w:r w:rsidR="00745F7A" w:rsidRPr="00202AEC">
        <w:t xml:space="preserve">cible et </w:t>
      </w:r>
      <w:r w:rsidR="00414428">
        <w:t xml:space="preserve">sa </w:t>
      </w:r>
      <w:r w:rsidR="00745F7A" w:rsidRPr="00202AEC">
        <w:t>r</w:t>
      </w:r>
      <w:r w:rsidR="004E7376" w:rsidRPr="00202AEC">
        <w:t>e</w:t>
      </w:r>
      <w:r w:rsidR="00745F7A" w:rsidRPr="00202AEC">
        <w:t>production (</w:t>
      </w:r>
      <w:r w:rsidR="00745F7A" w:rsidRPr="00202AEC">
        <w:rPr>
          <w:i/>
          <w:iCs/>
        </w:rPr>
        <w:t>N</w:t>
      </w:r>
      <w:r w:rsidR="00745F7A" w:rsidRPr="00202AEC">
        <w:t>=</w:t>
      </w:r>
      <w:r w:rsidR="004E7376" w:rsidRPr="00202AEC">
        <w:t>19270</w:t>
      </w:r>
      <w:r w:rsidR="00745F7A" w:rsidRPr="00202AEC">
        <w:t>).</w:t>
      </w:r>
      <w:r w:rsidR="00C46093" w:rsidRPr="00202AEC">
        <w:t xml:space="preserve"> </w:t>
      </w:r>
      <w:r w:rsidR="00CF422F" w:rsidRPr="00202AEC">
        <w:t xml:space="preserve">La distance euclidienne moyenne générale, tous sujets, blocs et stimuli confondus, </w:t>
      </w:r>
      <w:r w:rsidR="00A824DD">
        <w:t>s’élève à</w:t>
      </w:r>
      <w:r w:rsidR="00CF422F" w:rsidRPr="00202AEC">
        <w:t xml:space="preserve"> </w:t>
      </w:r>
      <w:r w:rsidR="0045239F" w:rsidRPr="00202AEC">
        <w:t>171.5</w:t>
      </w:r>
      <w:r w:rsidR="00CF422F" w:rsidRPr="00202AEC">
        <w:t xml:space="preserve"> Hz (</w:t>
      </w:r>
      <w:r w:rsidR="00A824DD">
        <w:t>soit</w:t>
      </w:r>
      <w:r w:rsidR="00CF422F" w:rsidRPr="00202AEC">
        <w:t xml:space="preserve"> </w:t>
      </w:r>
      <w:r w:rsidR="0045239F" w:rsidRPr="00202AEC">
        <w:t>247</w:t>
      </w:r>
      <w:r w:rsidR="00CF422F" w:rsidRPr="00202AEC">
        <w:t xml:space="preserve"> mels). </w:t>
      </w:r>
      <w:r w:rsidR="00F310C5" w:rsidRPr="00202AEC">
        <w:t>Une première analyse</w:t>
      </w:r>
      <w:r w:rsidR="00CF422F" w:rsidRPr="00202AEC">
        <w:t xml:space="preserve"> </w:t>
      </w:r>
      <w:r w:rsidR="00F310C5" w:rsidRPr="00202AEC">
        <w:t xml:space="preserve">a </w:t>
      </w:r>
      <w:r w:rsidR="00745F7A" w:rsidRPr="00202AEC">
        <w:t xml:space="preserve">été </w:t>
      </w:r>
      <w:r w:rsidR="00A824DD">
        <w:t>conduite</w:t>
      </w:r>
      <w:r w:rsidR="00745F7A" w:rsidRPr="00202AEC">
        <w:t xml:space="preserve"> avec le</w:t>
      </w:r>
      <w:r w:rsidR="00A824DD">
        <w:t>s facteurs</w:t>
      </w:r>
      <w:r w:rsidR="00745F7A" w:rsidRPr="00202AEC">
        <w:t xml:space="preserve"> </w:t>
      </w:r>
      <w:r w:rsidRPr="00202AEC">
        <w:t xml:space="preserve">Locuteur </w:t>
      </w:r>
      <w:r w:rsidR="00745F7A" w:rsidRPr="00202AEC">
        <w:t>(41 sujets)</w:t>
      </w:r>
      <w:r w:rsidR="00A824DD">
        <w:t xml:space="preserve"> et </w:t>
      </w:r>
      <w:r w:rsidR="00745F7A" w:rsidRPr="00202AEC">
        <w:t>Bloc (5 blocs</w:t>
      </w:r>
      <w:r w:rsidR="00DC7292" w:rsidRPr="00202AEC">
        <w:t>/répétitions</w:t>
      </w:r>
      <w:r w:rsidR="00745F7A" w:rsidRPr="00202AEC">
        <w:t xml:space="preserve">) comme variables indépendantes. </w:t>
      </w:r>
      <w:r w:rsidR="009E0380" w:rsidRPr="00202AEC">
        <w:t>Les résultats montrent un effet significatif du bloc</w:t>
      </w:r>
      <w:r w:rsidR="00BC5DE7" w:rsidRPr="00202AEC">
        <w:t> </w:t>
      </w:r>
      <w:r w:rsidR="009E0380" w:rsidRPr="00202AEC">
        <w:t xml:space="preserve">: </w:t>
      </w:r>
      <w:r w:rsidR="009E0380" w:rsidRPr="00202AEC">
        <w:rPr>
          <w:i/>
          <w:iCs/>
        </w:rPr>
        <w:t>F</w:t>
      </w:r>
      <w:r w:rsidR="009E0380" w:rsidRPr="00202AEC">
        <w:t>(4,</w:t>
      </w:r>
      <w:r w:rsidR="002F562A" w:rsidRPr="00202AEC">
        <w:t xml:space="preserve"> </w:t>
      </w:r>
      <w:r w:rsidR="009E0380" w:rsidRPr="00202AEC">
        <w:t>19065)=5</w:t>
      </w:r>
      <w:r w:rsidR="004F49E7" w:rsidRPr="00202AEC">
        <w:t>.</w:t>
      </w:r>
      <w:r w:rsidR="009E0380" w:rsidRPr="00202AEC">
        <w:t>650</w:t>
      </w:r>
      <w:r w:rsidR="00BC5DE7" w:rsidRPr="00202AEC">
        <w:t> </w:t>
      </w:r>
      <w:r w:rsidR="009E0380" w:rsidRPr="00202AEC">
        <w:t>;</w:t>
      </w:r>
      <w:r w:rsidR="00BC5DE7" w:rsidRPr="00202AEC">
        <w:t xml:space="preserve"> </w:t>
      </w:r>
      <w:r w:rsidR="009E0380" w:rsidRPr="00202AEC">
        <w:rPr>
          <w:i/>
          <w:iCs/>
        </w:rPr>
        <w:t>p</w:t>
      </w:r>
      <w:r w:rsidR="009E0380" w:rsidRPr="00202AEC">
        <w:t>&lt;.001, du locuteur</w:t>
      </w:r>
      <w:r w:rsidR="00BC5DE7" w:rsidRPr="00202AEC">
        <w:t> </w:t>
      </w:r>
      <w:r w:rsidR="009E0380" w:rsidRPr="00202AEC">
        <w:t xml:space="preserve">: </w:t>
      </w:r>
      <w:r w:rsidR="009E0380" w:rsidRPr="00202AEC">
        <w:rPr>
          <w:i/>
          <w:iCs/>
        </w:rPr>
        <w:t>F</w:t>
      </w:r>
      <w:r w:rsidR="009E0380" w:rsidRPr="00202AEC">
        <w:t>(40, 19065)=104</w:t>
      </w:r>
      <w:r w:rsidR="004F49E7" w:rsidRPr="00202AEC">
        <w:t>.</w:t>
      </w:r>
      <w:r w:rsidR="009E0380" w:rsidRPr="00202AEC">
        <w:t>951</w:t>
      </w:r>
      <w:r w:rsidR="00BC5DE7" w:rsidRPr="00202AEC">
        <w:t> </w:t>
      </w:r>
      <w:r w:rsidR="009E0380" w:rsidRPr="00202AEC">
        <w:t xml:space="preserve">; </w:t>
      </w:r>
      <w:r w:rsidR="009E0380" w:rsidRPr="00202AEC">
        <w:rPr>
          <w:i/>
          <w:iCs/>
        </w:rPr>
        <w:t>p</w:t>
      </w:r>
      <w:r w:rsidR="009E0380" w:rsidRPr="00202AEC">
        <w:t>&lt;</w:t>
      </w:r>
      <w:r w:rsidR="00043817" w:rsidRPr="00202AEC">
        <w:t>.</w:t>
      </w:r>
      <w:r w:rsidR="009E0380" w:rsidRPr="00202AEC">
        <w:t>001</w:t>
      </w:r>
      <w:r w:rsidR="00A824DD">
        <w:t>,</w:t>
      </w:r>
      <w:r w:rsidR="009E0380" w:rsidRPr="00202AEC">
        <w:t xml:space="preserve"> </w:t>
      </w:r>
      <w:r w:rsidR="0089514A" w:rsidRPr="00202AEC">
        <w:t>ainsi qu’</w:t>
      </w:r>
      <w:r w:rsidR="00E15803" w:rsidRPr="00202AEC">
        <w:t>un</w:t>
      </w:r>
      <w:r w:rsidR="002D2593" w:rsidRPr="00202AEC">
        <w:t xml:space="preserve">e interaction significative </w:t>
      </w:r>
      <w:r w:rsidR="009E0380" w:rsidRPr="00202AEC">
        <w:t>entre le bloc et le locuteur</w:t>
      </w:r>
      <w:r w:rsidR="00BC5DE7" w:rsidRPr="00202AEC">
        <w:t> </w:t>
      </w:r>
      <w:r w:rsidR="009E0380" w:rsidRPr="00202AEC">
        <w:t xml:space="preserve">: </w:t>
      </w:r>
      <w:r w:rsidR="009E0380" w:rsidRPr="00202AEC">
        <w:rPr>
          <w:i/>
          <w:iCs/>
        </w:rPr>
        <w:t>F</w:t>
      </w:r>
      <w:r w:rsidR="009E0380" w:rsidRPr="00202AEC">
        <w:t>(160, 19065)=2</w:t>
      </w:r>
      <w:r w:rsidR="004F49E7" w:rsidRPr="00202AEC">
        <w:t>.</w:t>
      </w:r>
      <w:r w:rsidR="009E0380" w:rsidRPr="00202AEC">
        <w:t>338</w:t>
      </w:r>
      <w:r w:rsidR="00BC5DE7" w:rsidRPr="00202AEC">
        <w:t> </w:t>
      </w:r>
      <w:r w:rsidR="009E0380" w:rsidRPr="00202AEC">
        <w:t xml:space="preserve">; </w:t>
      </w:r>
      <w:r w:rsidR="009E0380" w:rsidRPr="00202AEC">
        <w:rPr>
          <w:i/>
          <w:iCs/>
        </w:rPr>
        <w:t>p</w:t>
      </w:r>
      <w:r w:rsidR="009E0380" w:rsidRPr="00202AEC">
        <w:t>&lt;.001.</w:t>
      </w:r>
      <w:r w:rsidR="000B2890" w:rsidRPr="00202AEC">
        <w:t xml:space="preserve"> </w:t>
      </w:r>
      <w:r w:rsidR="00CE5901" w:rsidRPr="00202AEC">
        <w:t>Ces résultats</w:t>
      </w:r>
      <w:r w:rsidR="00FF4F62" w:rsidRPr="00202AEC">
        <w:t>, en particulier l’effet</w:t>
      </w:r>
      <w:r w:rsidR="000B2890" w:rsidRPr="00202AEC">
        <w:t xml:space="preserve"> significatif du locuteur</w:t>
      </w:r>
      <w:r w:rsidR="00FF4F62" w:rsidRPr="00202AEC">
        <w:t xml:space="preserve">, </w:t>
      </w:r>
      <w:r w:rsidR="000B2890" w:rsidRPr="00202AEC">
        <w:t>justifie</w:t>
      </w:r>
      <w:r w:rsidR="00FF4F62" w:rsidRPr="00202AEC">
        <w:t>nt</w:t>
      </w:r>
      <w:r w:rsidR="000B2890" w:rsidRPr="00202AEC">
        <w:t xml:space="preserve"> </w:t>
      </w:r>
      <w:r w:rsidR="000F71D1" w:rsidRPr="00202AEC">
        <w:t xml:space="preserve">que nous analysions les performances individuelles </w:t>
      </w:r>
      <w:r w:rsidRPr="00202AEC">
        <w:t>dans la section suivante.</w:t>
      </w:r>
      <w:r w:rsidR="000F71D1" w:rsidRPr="00202AEC">
        <w:t xml:space="preserve"> </w:t>
      </w:r>
    </w:p>
    <w:p w14:paraId="185AD673" w14:textId="1BBEFC5C" w:rsidR="00F310C5" w:rsidRPr="00202AEC" w:rsidRDefault="00DC7292" w:rsidP="00523012">
      <w:pPr>
        <w:snapToGrid w:val="0"/>
        <w:spacing w:line="360" w:lineRule="auto"/>
        <w:contextualSpacing/>
        <w:jc w:val="both"/>
      </w:pPr>
      <w:r w:rsidRPr="00202AEC">
        <w:t xml:space="preserve">Une seconde analyse a été effectuée avec le Bloc (5 blocs) et la Voyelle cible (94 stimuli) comme variables indépendantes. Celle-ci </w:t>
      </w:r>
      <w:r w:rsidR="002D2593" w:rsidRPr="00202AEC">
        <w:t>a révélé un effet significatif de la voyelle cible</w:t>
      </w:r>
      <w:r w:rsidR="00BC5DE7" w:rsidRPr="00202AEC">
        <w:t> </w:t>
      </w:r>
      <w:r w:rsidR="002D2593" w:rsidRPr="00202AEC">
        <w:t xml:space="preserve">: </w:t>
      </w:r>
      <w:r w:rsidR="002D2593" w:rsidRPr="00202AEC">
        <w:rPr>
          <w:i/>
          <w:iCs/>
        </w:rPr>
        <w:t>F</w:t>
      </w:r>
      <w:r w:rsidR="002D2593" w:rsidRPr="00202AEC">
        <w:t xml:space="preserve">(93, 18800)=33.998 ; </w:t>
      </w:r>
      <w:r w:rsidR="002D2593" w:rsidRPr="00202AEC">
        <w:rPr>
          <w:i/>
          <w:iCs/>
        </w:rPr>
        <w:t>p</w:t>
      </w:r>
      <w:r w:rsidR="002D2593" w:rsidRPr="00202AEC">
        <w:t xml:space="preserve">&lt;.001, soulignant que la nature des voyelles synthétiques influence les </w:t>
      </w:r>
      <w:r w:rsidRPr="00202AEC">
        <w:t>performances en reproduction</w:t>
      </w:r>
      <w:r w:rsidR="002D2593" w:rsidRPr="00202AEC">
        <w:t xml:space="preserve">. </w:t>
      </w:r>
      <w:r w:rsidR="00A928F7" w:rsidRPr="00202AEC">
        <w:t xml:space="preserve">En revanche, l’interaction entre la voyelle cible et le bloc n’est pas significative, ce qui suggère que les variations </w:t>
      </w:r>
      <w:r w:rsidRPr="00202AEC">
        <w:t>de performance</w:t>
      </w:r>
      <w:r w:rsidR="00A928F7" w:rsidRPr="00202AEC">
        <w:t xml:space="preserve"> en fonction des voyelles </w:t>
      </w:r>
      <w:r w:rsidR="00D270F7" w:rsidRPr="00202AEC">
        <w:lastRenderedPageBreak/>
        <w:t>sont globalement similaire</w:t>
      </w:r>
      <w:r w:rsidR="00A824DD">
        <w:t>s</w:t>
      </w:r>
      <w:r w:rsidR="00D270F7" w:rsidRPr="00202AEC">
        <w:t xml:space="preserve"> </w:t>
      </w:r>
      <w:r w:rsidR="00A824DD">
        <w:t>d’un bloc à l’autre</w:t>
      </w:r>
      <w:r w:rsidR="00A928F7" w:rsidRPr="00202AEC">
        <w:t>. Ces résultats mettent en lumière l’influence majeure des voyelles elles-mêmes, tout en indiquant que l’effet des blocs n’interagit pas avec cette variable.</w:t>
      </w:r>
    </w:p>
    <w:p w14:paraId="570ADE88" w14:textId="5D006C74" w:rsidR="00A5092E" w:rsidRDefault="009E0380" w:rsidP="00523012">
      <w:pPr>
        <w:snapToGrid w:val="0"/>
        <w:spacing w:line="360" w:lineRule="auto"/>
        <w:contextualSpacing/>
        <w:jc w:val="both"/>
      </w:pPr>
      <w:r w:rsidRPr="00202AEC">
        <w:t>Ensuite</w:t>
      </w:r>
      <w:r w:rsidR="00C57DC9" w:rsidRPr="00202AEC">
        <w:t xml:space="preserve">, </w:t>
      </w:r>
      <w:r w:rsidRPr="00202AEC">
        <w:t xml:space="preserve">nous avons examiné l’effet du </w:t>
      </w:r>
      <w:r w:rsidR="00895321" w:rsidRPr="00202AEC">
        <w:t>G</w:t>
      </w:r>
      <w:r w:rsidR="00E15803" w:rsidRPr="00202AEC">
        <w:t>enre</w:t>
      </w:r>
      <w:r w:rsidRPr="00202AEC">
        <w:t xml:space="preserve"> (F/M) et du </w:t>
      </w:r>
      <w:r w:rsidR="00895321" w:rsidRPr="00202AEC">
        <w:t>B</w:t>
      </w:r>
      <w:r w:rsidRPr="00202AEC">
        <w:t>loc</w:t>
      </w:r>
      <w:r w:rsidR="00DD4C55" w:rsidRPr="00202AEC">
        <w:t xml:space="preserve">. </w:t>
      </w:r>
      <w:r w:rsidRPr="00202AEC">
        <w:t xml:space="preserve">Les </w:t>
      </w:r>
      <w:r w:rsidR="00DD4C55" w:rsidRPr="00202AEC">
        <w:t>observations</w:t>
      </w:r>
      <w:r w:rsidRPr="00202AEC">
        <w:t xml:space="preserve"> </w:t>
      </w:r>
      <w:r w:rsidR="00DD4C55" w:rsidRPr="00202AEC">
        <w:t>révèlent</w:t>
      </w:r>
      <w:r w:rsidRPr="00202AEC">
        <w:t xml:space="preserve"> un effet significatif du </w:t>
      </w:r>
      <w:r w:rsidR="00895321" w:rsidRPr="00202AEC">
        <w:t>G</w:t>
      </w:r>
      <w:r w:rsidR="00E15803" w:rsidRPr="00202AEC">
        <w:t>enre</w:t>
      </w:r>
      <w:r w:rsidR="00BC5DE7" w:rsidRPr="00202AEC">
        <w:t> </w:t>
      </w:r>
      <w:r w:rsidRPr="00202AEC">
        <w:t xml:space="preserve">: </w:t>
      </w:r>
      <w:r w:rsidRPr="00202AEC">
        <w:rPr>
          <w:i/>
          <w:iCs/>
        </w:rPr>
        <w:t>F</w:t>
      </w:r>
      <w:r w:rsidRPr="00202AEC">
        <w:t>(1,19260)=1330</w:t>
      </w:r>
      <w:r w:rsidR="004F49E7" w:rsidRPr="00202AEC">
        <w:t>.</w:t>
      </w:r>
      <w:r w:rsidRPr="00202AEC">
        <w:t>652</w:t>
      </w:r>
      <w:r w:rsidR="00BC5DE7" w:rsidRPr="00202AEC">
        <w:t> </w:t>
      </w:r>
      <w:r w:rsidRPr="00202AEC">
        <w:t xml:space="preserve">; </w:t>
      </w:r>
      <w:r w:rsidRPr="00202AEC">
        <w:rPr>
          <w:i/>
          <w:iCs/>
        </w:rPr>
        <w:t>p</w:t>
      </w:r>
      <w:r w:rsidRPr="00202AEC">
        <w:t xml:space="preserve">&lt;.001 (voir </w:t>
      </w:r>
      <w:r w:rsidR="0049454C" w:rsidRPr="00202AEC">
        <w:t>Figure 2</w:t>
      </w:r>
      <w:r w:rsidRPr="00202AEC">
        <w:t xml:space="preserve">), ainsi qu’un effet significatif du </w:t>
      </w:r>
      <w:r w:rsidR="00895321" w:rsidRPr="00202AEC">
        <w:t>B</w:t>
      </w:r>
      <w:r w:rsidRPr="00202AEC">
        <w:t>loc</w:t>
      </w:r>
      <w:r w:rsidR="00BC5DE7" w:rsidRPr="00202AEC">
        <w:t> </w:t>
      </w:r>
      <w:r w:rsidRPr="00202AEC">
        <w:t xml:space="preserve">: </w:t>
      </w:r>
      <w:r w:rsidRPr="00202AEC">
        <w:rPr>
          <w:i/>
          <w:iCs/>
        </w:rPr>
        <w:t>F</w:t>
      </w:r>
      <w:r w:rsidRPr="00202AEC">
        <w:t>(4, 19260)=3</w:t>
      </w:r>
      <w:r w:rsidR="004F49E7" w:rsidRPr="00202AEC">
        <w:t>.</w:t>
      </w:r>
      <w:r w:rsidRPr="00202AEC">
        <w:t>545</w:t>
      </w:r>
      <w:r w:rsidR="00BC5DE7" w:rsidRPr="00202AEC">
        <w:t> </w:t>
      </w:r>
      <w:r w:rsidRPr="00202AEC">
        <w:t xml:space="preserve">; </w:t>
      </w:r>
      <w:r w:rsidRPr="00202AEC">
        <w:rPr>
          <w:i/>
          <w:iCs/>
        </w:rPr>
        <w:t>p</w:t>
      </w:r>
      <w:r w:rsidRPr="00202AEC">
        <w:t xml:space="preserve">=.007 (voir </w:t>
      </w:r>
      <w:r w:rsidR="0049454C" w:rsidRPr="00202AEC">
        <w:t>Figure 3</w:t>
      </w:r>
      <w:r w:rsidRPr="00202AEC">
        <w:t xml:space="preserve">). L’interaction entre le </w:t>
      </w:r>
      <w:r w:rsidR="00E15803" w:rsidRPr="00202AEC">
        <w:t>genre</w:t>
      </w:r>
      <w:r w:rsidRPr="00202AEC">
        <w:t xml:space="preserve"> et le bloc n’est pas significative.</w:t>
      </w:r>
    </w:p>
    <w:p w14:paraId="744D7D72" w14:textId="77777777" w:rsidR="00EC5B31" w:rsidRPr="00202AEC" w:rsidRDefault="00EC5B31" w:rsidP="00523012">
      <w:pPr>
        <w:snapToGrid w:val="0"/>
        <w:spacing w:line="360" w:lineRule="auto"/>
        <w:contextualSpacing/>
        <w:jc w:val="both"/>
      </w:pPr>
    </w:p>
    <w:p w14:paraId="5F032CAF" w14:textId="5BD2806A" w:rsidR="000739D9" w:rsidRPr="00B07508" w:rsidRDefault="00EC5B31" w:rsidP="00EC5B31">
      <w:pPr>
        <w:snapToGrid w:val="0"/>
        <w:spacing w:line="360" w:lineRule="auto"/>
        <w:ind w:firstLine="284"/>
        <w:contextualSpacing/>
        <w:jc w:val="center"/>
        <w:rPr>
          <w:b/>
          <w:bCs/>
          <w:color w:val="111111"/>
          <w:sz w:val="20"/>
          <w:szCs w:val="20"/>
        </w:rPr>
      </w:pPr>
      <w:r w:rsidRPr="00B07508">
        <w:rPr>
          <w:b/>
          <w:bCs/>
          <w:color w:val="111111"/>
          <w:sz w:val="20"/>
          <w:szCs w:val="20"/>
        </w:rPr>
        <w:t>Figure 2. Distance euclidienne moyenne entre cible et reproduction dans l’espace F1-F2-F3 (mels) en fonction du genre du sujet (F : féminin ; M : masculin)</w:t>
      </w:r>
    </w:p>
    <w:p w14:paraId="48ED739C" w14:textId="336920B4" w:rsidR="00C23951" w:rsidRDefault="00365E90" w:rsidP="00DF24FC">
      <w:pPr>
        <w:snapToGrid w:val="0"/>
        <w:spacing w:line="360" w:lineRule="auto"/>
        <w:contextualSpacing/>
        <w:jc w:val="center"/>
      </w:pPr>
      <w:r>
        <w:rPr>
          <w:noProof/>
        </w:rPr>
        <w:drawing>
          <wp:inline distT="0" distB="0" distL="0" distR="0" wp14:anchorId="63185748" wp14:editId="72011228">
            <wp:extent cx="3957828" cy="2383692"/>
            <wp:effectExtent l="0" t="0" r="5080" b="4445"/>
            <wp:docPr id="7" name="Image 7" descr="Une image contenant diagramme, capture d’écran, lign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diagramme, capture d’écran, ligne, Rectangl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81935" cy="2398211"/>
                    </a:xfrm>
                    <a:prstGeom prst="rect">
                      <a:avLst/>
                    </a:prstGeom>
                  </pic:spPr>
                </pic:pic>
              </a:graphicData>
            </a:graphic>
          </wp:inline>
        </w:drawing>
      </w:r>
    </w:p>
    <w:p w14:paraId="71D25266" w14:textId="77777777" w:rsidR="00EC5B31" w:rsidRPr="00202AEC" w:rsidRDefault="00EC5B31" w:rsidP="00DF24FC">
      <w:pPr>
        <w:snapToGrid w:val="0"/>
        <w:spacing w:line="360" w:lineRule="auto"/>
        <w:contextualSpacing/>
        <w:jc w:val="center"/>
      </w:pPr>
    </w:p>
    <w:p w14:paraId="0C84E178" w14:textId="4185B854" w:rsidR="00240221" w:rsidRPr="00365E90" w:rsidRDefault="00EC5B31" w:rsidP="00365E90">
      <w:pPr>
        <w:snapToGrid w:val="0"/>
        <w:spacing w:line="360" w:lineRule="auto"/>
        <w:ind w:firstLine="284"/>
        <w:contextualSpacing/>
        <w:jc w:val="center"/>
        <w:rPr>
          <w:b/>
          <w:bCs/>
          <w:color w:val="111111"/>
          <w:sz w:val="20"/>
          <w:szCs w:val="20"/>
        </w:rPr>
      </w:pPr>
      <w:r w:rsidRPr="00B07508">
        <w:rPr>
          <w:b/>
          <w:bCs/>
          <w:color w:val="111111"/>
          <w:sz w:val="20"/>
          <w:szCs w:val="20"/>
        </w:rPr>
        <w:t>Figure 3. Distance euclidienne moyenne entre cible et reproduction dans l’espace F1-F2-F3 (mels) en fonction du bloc (1 à 5)</w:t>
      </w:r>
    </w:p>
    <w:p w14:paraId="1A3956A6" w14:textId="3B58ECD1" w:rsidR="00662B6B" w:rsidRPr="00202AEC" w:rsidRDefault="00365E90" w:rsidP="00DF24FC">
      <w:pPr>
        <w:snapToGrid w:val="0"/>
        <w:spacing w:line="360" w:lineRule="auto"/>
        <w:ind w:firstLine="284"/>
        <w:contextualSpacing/>
        <w:jc w:val="center"/>
        <w:rPr>
          <w:color w:val="111111"/>
          <w:sz w:val="22"/>
          <w:szCs w:val="22"/>
        </w:rPr>
      </w:pPr>
      <w:r>
        <w:rPr>
          <w:noProof/>
          <w:color w:val="111111"/>
          <w:sz w:val="22"/>
          <w:szCs w:val="22"/>
        </w:rPr>
        <w:drawing>
          <wp:inline distT="0" distB="0" distL="0" distR="0" wp14:anchorId="5D81EFDB" wp14:editId="6FAC81E8">
            <wp:extent cx="3787579" cy="2274277"/>
            <wp:effectExtent l="0" t="0" r="0" b="0"/>
            <wp:docPr id="9" name="Image 9" descr="Une image contenant ligne, Parallèle, diagramm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ligne, Parallèle, diagramme, Tracé&#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99222" cy="2281268"/>
                    </a:xfrm>
                    <a:prstGeom prst="rect">
                      <a:avLst/>
                    </a:prstGeom>
                  </pic:spPr>
                </pic:pic>
              </a:graphicData>
            </a:graphic>
          </wp:inline>
        </w:drawing>
      </w:r>
    </w:p>
    <w:p w14:paraId="345E33F5" w14:textId="233C8377" w:rsidR="00B61A3C" w:rsidRPr="00202AEC" w:rsidRDefault="00D270F7" w:rsidP="00DF24FC">
      <w:pPr>
        <w:snapToGrid w:val="0"/>
        <w:spacing w:line="360" w:lineRule="auto"/>
        <w:contextualSpacing/>
        <w:jc w:val="both"/>
      </w:pPr>
      <w:r w:rsidRPr="00202AEC">
        <w:t>Des</w:t>
      </w:r>
      <w:r w:rsidR="002D5A98" w:rsidRPr="00202AEC">
        <w:t xml:space="preserve"> tests post-hoc de </w:t>
      </w:r>
      <w:r w:rsidR="00895321" w:rsidRPr="00202AEC">
        <w:t>Tukey</w:t>
      </w:r>
      <w:r w:rsidR="00736AED" w:rsidRPr="00202AEC">
        <w:t xml:space="preserve"> </w:t>
      </w:r>
      <w:r w:rsidRPr="00202AEC">
        <w:t>ont permis d’</w:t>
      </w:r>
      <w:r w:rsidR="002D5A98" w:rsidRPr="00202AEC">
        <w:t xml:space="preserve">identifier </w:t>
      </w:r>
      <w:r w:rsidR="00736AED" w:rsidRPr="00202AEC">
        <w:t>les sous-ensemble</w:t>
      </w:r>
      <w:r w:rsidR="00C46093" w:rsidRPr="00202AEC">
        <w:t>s</w:t>
      </w:r>
      <w:r w:rsidR="00736AED" w:rsidRPr="00202AEC">
        <w:t xml:space="preserve"> de blocs qui diffèrent de manière significative. </w:t>
      </w:r>
      <w:r w:rsidR="00547BBB" w:rsidRPr="00202AEC">
        <w:t xml:space="preserve">Ces </w:t>
      </w:r>
      <w:r w:rsidR="00D86DB9">
        <w:t xml:space="preserve">analyses </w:t>
      </w:r>
      <w:r w:rsidR="00164666" w:rsidRPr="00202AEC">
        <w:t>ont</w:t>
      </w:r>
      <w:r w:rsidR="00547BBB" w:rsidRPr="00202AEC">
        <w:t xml:space="preserve"> révélé des différences significatives </w:t>
      </w:r>
      <w:r w:rsidR="00164666" w:rsidRPr="00202AEC">
        <w:t xml:space="preserve">uniquement </w:t>
      </w:r>
      <w:r w:rsidR="00547BBB" w:rsidRPr="00202AEC">
        <w:t>entre</w:t>
      </w:r>
      <w:r w:rsidR="00164666" w:rsidRPr="00202AEC">
        <w:t>,</w:t>
      </w:r>
      <w:r w:rsidR="00547BBB" w:rsidRPr="00202AEC">
        <w:t xml:space="preserve"> d’une part</w:t>
      </w:r>
      <w:r w:rsidR="00164666" w:rsidRPr="00202AEC">
        <w:t xml:space="preserve">, </w:t>
      </w:r>
      <w:r w:rsidR="00547BBB" w:rsidRPr="00202AEC">
        <w:t>les blocs 1 (</w:t>
      </w:r>
      <w:r w:rsidR="00C46093" w:rsidRPr="00202AEC">
        <w:rPr>
          <w:i/>
          <w:iCs/>
        </w:rPr>
        <w:t>M</w:t>
      </w:r>
      <w:r w:rsidR="00C46093" w:rsidRPr="00202AEC">
        <w:t>=</w:t>
      </w:r>
      <w:r w:rsidR="00547BBB" w:rsidRPr="00202AEC">
        <w:t>24</w:t>
      </w:r>
      <w:r w:rsidR="00895321" w:rsidRPr="00202AEC">
        <w:t>3</w:t>
      </w:r>
      <w:r w:rsidR="00600206" w:rsidRPr="00202AEC">
        <w:t>.</w:t>
      </w:r>
      <w:r w:rsidR="00895321" w:rsidRPr="00202AEC">
        <w:t>5</w:t>
      </w:r>
      <w:r w:rsidR="00547BBB" w:rsidRPr="00202AEC">
        <w:t xml:space="preserve"> mels)</w:t>
      </w:r>
      <w:r w:rsidR="00895321" w:rsidRPr="00202AEC">
        <w:t xml:space="preserve">, </w:t>
      </w:r>
      <w:r w:rsidR="00547BBB" w:rsidRPr="00202AEC">
        <w:t>2 (</w:t>
      </w:r>
      <w:r w:rsidR="00C46093" w:rsidRPr="00202AEC">
        <w:rPr>
          <w:i/>
          <w:iCs/>
        </w:rPr>
        <w:t>M</w:t>
      </w:r>
      <w:r w:rsidR="00C46093" w:rsidRPr="00202AEC">
        <w:t>=</w:t>
      </w:r>
      <w:r w:rsidR="00547BBB" w:rsidRPr="00202AEC">
        <w:t>243</w:t>
      </w:r>
      <w:r w:rsidR="00694158" w:rsidRPr="00202AEC">
        <w:t>.</w:t>
      </w:r>
      <w:r w:rsidR="00895321" w:rsidRPr="00202AEC">
        <w:t>1</w:t>
      </w:r>
      <w:r w:rsidR="00547BBB" w:rsidRPr="00202AEC">
        <w:t xml:space="preserve"> mels)</w:t>
      </w:r>
      <w:r w:rsidR="00164666" w:rsidRPr="00202AEC">
        <w:t xml:space="preserve"> </w:t>
      </w:r>
      <w:r w:rsidR="00547BBB" w:rsidRPr="00202AEC">
        <w:t>et</w:t>
      </w:r>
      <w:r w:rsidR="00895321" w:rsidRPr="00202AEC">
        <w:t xml:space="preserve"> 3 (</w:t>
      </w:r>
      <w:r w:rsidR="00C46093" w:rsidRPr="00202AEC">
        <w:rPr>
          <w:i/>
          <w:iCs/>
        </w:rPr>
        <w:t>M</w:t>
      </w:r>
      <w:r w:rsidR="00C46093" w:rsidRPr="00202AEC">
        <w:t>=</w:t>
      </w:r>
      <w:r w:rsidR="00895321" w:rsidRPr="00202AEC">
        <w:t>244</w:t>
      </w:r>
      <w:r w:rsidR="00694158" w:rsidRPr="00202AEC">
        <w:t>.</w:t>
      </w:r>
      <w:r w:rsidR="00895321" w:rsidRPr="00202AEC">
        <w:t>3</w:t>
      </w:r>
      <w:r w:rsidR="002905C2" w:rsidRPr="00202AEC">
        <w:t xml:space="preserve"> mels)</w:t>
      </w:r>
      <w:r w:rsidR="00547BBB" w:rsidRPr="00202AEC">
        <w:t xml:space="preserve">, </w:t>
      </w:r>
      <w:r w:rsidR="002905C2" w:rsidRPr="00202AEC">
        <w:t xml:space="preserve">et </w:t>
      </w:r>
      <w:r w:rsidR="00547BBB" w:rsidRPr="00202AEC">
        <w:t>d’</w:t>
      </w:r>
      <w:r w:rsidR="00C8166A" w:rsidRPr="00202AEC">
        <w:t>autre</w:t>
      </w:r>
      <w:r w:rsidR="00547BBB" w:rsidRPr="00202AEC">
        <w:t xml:space="preserve"> </w:t>
      </w:r>
      <w:r w:rsidR="00547BBB" w:rsidRPr="00202AEC">
        <w:lastRenderedPageBreak/>
        <w:t>part, le</w:t>
      </w:r>
      <w:r w:rsidR="00B530DE" w:rsidRPr="00202AEC">
        <w:t>s</w:t>
      </w:r>
      <w:r w:rsidR="00547BBB" w:rsidRPr="00202AEC">
        <w:t xml:space="preserve"> bloc</w:t>
      </w:r>
      <w:r w:rsidR="00B530DE" w:rsidRPr="00202AEC">
        <w:t>s</w:t>
      </w:r>
      <w:r w:rsidR="00547BBB" w:rsidRPr="00202AEC">
        <w:t xml:space="preserve"> </w:t>
      </w:r>
      <w:r w:rsidR="00B530DE" w:rsidRPr="00202AEC">
        <w:t>4 (</w:t>
      </w:r>
      <w:r w:rsidR="00C46093" w:rsidRPr="00202AEC">
        <w:rPr>
          <w:i/>
          <w:iCs/>
        </w:rPr>
        <w:t>M</w:t>
      </w:r>
      <w:r w:rsidR="00C46093" w:rsidRPr="00202AEC">
        <w:t>=</w:t>
      </w:r>
      <w:r w:rsidR="00B530DE" w:rsidRPr="00202AEC">
        <w:t>251</w:t>
      </w:r>
      <w:r w:rsidR="00694158" w:rsidRPr="00202AEC">
        <w:t>.</w:t>
      </w:r>
      <w:r w:rsidR="00B530DE" w:rsidRPr="00202AEC">
        <w:t xml:space="preserve">4 mels) et </w:t>
      </w:r>
      <w:r w:rsidR="00547BBB" w:rsidRPr="00202AEC">
        <w:t>5 (</w:t>
      </w:r>
      <w:r w:rsidR="00C46093" w:rsidRPr="00202AEC">
        <w:rPr>
          <w:i/>
          <w:iCs/>
        </w:rPr>
        <w:t>M</w:t>
      </w:r>
      <w:r w:rsidR="00C46093" w:rsidRPr="00202AEC">
        <w:t>=</w:t>
      </w:r>
      <w:r w:rsidR="00547BBB" w:rsidRPr="00202AEC">
        <w:t>25</w:t>
      </w:r>
      <w:r w:rsidR="00B530DE" w:rsidRPr="00202AEC">
        <w:t>2</w:t>
      </w:r>
      <w:r w:rsidR="00694158" w:rsidRPr="00202AEC">
        <w:t>.</w:t>
      </w:r>
      <w:r w:rsidR="00B530DE" w:rsidRPr="00202AEC">
        <w:t>8</w:t>
      </w:r>
      <w:r w:rsidR="00547BBB" w:rsidRPr="00202AEC">
        <w:t xml:space="preserve"> mels). </w:t>
      </w:r>
      <w:r w:rsidR="00164666" w:rsidRPr="00202AEC">
        <w:t>Cependant, l</w:t>
      </w:r>
      <w:r w:rsidR="003261D5" w:rsidRPr="00202AEC">
        <w:t>a taille de l’effet</w:t>
      </w:r>
      <w:r w:rsidR="00D71186">
        <w:t xml:space="preserve"> associé à la variable Bloc</w:t>
      </w:r>
      <w:r w:rsidR="001D0BD0" w:rsidRPr="00202AEC">
        <w:t xml:space="preserve"> </w:t>
      </w:r>
      <w:r w:rsidR="003261D5" w:rsidRPr="00202AEC">
        <w:t>(</w:t>
      </w:r>
      <w:r w:rsidR="00D96B29" w:rsidRPr="00202AEC">
        <w:rPr>
          <w:rStyle w:val="mord"/>
          <w:i/>
          <w:iCs/>
        </w:rPr>
        <w:t>η2</w:t>
      </w:r>
      <w:r w:rsidR="003261D5" w:rsidRPr="00202AEC">
        <w:t>=</w:t>
      </w:r>
      <w:r w:rsidR="004F49E7" w:rsidRPr="00202AEC">
        <w:t>.</w:t>
      </w:r>
      <w:r w:rsidR="00C8166A" w:rsidRPr="00202AEC">
        <w:t>001</w:t>
      </w:r>
      <w:r w:rsidR="003261D5" w:rsidRPr="00202AEC">
        <w:t xml:space="preserve">) </w:t>
      </w:r>
      <w:r w:rsidR="00164666" w:rsidRPr="00202AEC">
        <w:t xml:space="preserve">indique que l’impact de ces différences est extrêmement faible. Cela suggère que, bien que l’effet Bloc soit statistiquement significatif, il n’a qu’une influence minime </w:t>
      </w:r>
      <w:r w:rsidR="00364E7F" w:rsidRPr="00202AEC">
        <w:t xml:space="preserve">(dans le sens d’une dégradation légère des performances) </w:t>
      </w:r>
      <w:r w:rsidR="00164666" w:rsidRPr="00202AEC">
        <w:t xml:space="preserve">sur les distances euclidiennes mesurées. Ces résultats appuient l’idée que des variations existent en fonction des blocs, </w:t>
      </w:r>
      <w:r w:rsidR="00D25D49" w:rsidRPr="00202AEC">
        <w:t>mais</w:t>
      </w:r>
      <w:r w:rsidR="00164666" w:rsidRPr="00202AEC">
        <w:t xml:space="preserve"> leur pertinence pratique reste limitée</w:t>
      </w:r>
      <w:r w:rsidR="003261D5" w:rsidRPr="00202AEC">
        <w:t xml:space="preserve">. </w:t>
      </w:r>
    </w:p>
    <w:p w14:paraId="24393B14" w14:textId="5EDDDBB1" w:rsidR="006F5111" w:rsidRDefault="009E0380" w:rsidP="00523012">
      <w:pPr>
        <w:snapToGrid w:val="0"/>
        <w:spacing w:line="360" w:lineRule="auto"/>
        <w:contextualSpacing/>
        <w:jc w:val="both"/>
      </w:pPr>
      <w:r w:rsidRPr="00202AEC">
        <w:t>Par ailleurs, c</w:t>
      </w:r>
      <w:r w:rsidR="00240221" w:rsidRPr="00202AEC">
        <w:t xml:space="preserve">omme </w:t>
      </w:r>
      <w:r w:rsidR="00737694" w:rsidRPr="00202AEC">
        <w:t xml:space="preserve">illustré </w:t>
      </w:r>
      <w:r w:rsidR="003441A6" w:rsidRPr="00202AEC">
        <w:t>sur la Figure 2</w:t>
      </w:r>
      <w:r w:rsidR="00240221" w:rsidRPr="00202AEC">
        <w:t xml:space="preserve">, </w:t>
      </w:r>
      <w:r w:rsidR="000C1209" w:rsidRPr="00202AEC">
        <w:t xml:space="preserve">les hommes </w:t>
      </w:r>
      <w:r w:rsidR="00C444CA" w:rsidRPr="00202AEC">
        <w:t>(</w:t>
      </w:r>
      <w:r w:rsidR="00C444CA" w:rsidRPr="00202AEC">
        <w:rPr>
          <w:i/>
          <w:iCs/>
        </w:rPr>
        <w:t>M</w:t>
      </w:r>
      <w:r w:rsidR="00C444CA" w:rsidRPr="00202AEC">
        <w:t>=177</w:t>
      </w:r>
      <w:r w:rsidR="004F49E7" w:rsidRPr="00202AEC">
        <w:t>.</w:t>
      </w:r>
      <w:r w:rsidR="00C444CA" w:rsidRPr="00202AEC">
        <w:t xml:space="preserve">1 mels) </w:t>
      </w:r>
      <w:r w:rsidR="000C1209" w:rsidRPr="00202AEC">
        <w:t>présentent une distance euclidienne moyenne inférieure à celle des femmes</w:t>
      </w:r>
      <w:r w:rsidR="00C444CA" w:rsidRPr="00202AEC">
        <w:t xml:space="preserve"> (</w:t>
      </w:r>
      <w:r w:rsidR="00C444CA" w:rsidRPr="00202AEC">
        <w:rPr>
          <w:i/>
          <w:iCs/>
        </w:rPr>
        <w:t>M</w:t>
      </w:r>
      <w:r w:rsidR="00C444CA" w:rsidRPr="00202AEC">
        <w:t>=263</w:t>
      </w:r>
      <w:r w:rsidR="004F49E7" w:rsidRPr="00202AEC">
        <w:t>.</w:t>
      </w:r>
      <w:r w:rsidR="00C444CA" w:rsidRPr="00202AEC">
        <w:t>9 mels)</w:t>
      </w:r>
      <w:r w:rsidR="000C1209" w:rsidRPr="00202AEC">
        <w:t xml:space="preserve">. Cette </w:t>
      </w:r>
      <w:r w:rsidR="001D3869" w:rsidRPr="00202AEC">
        <w:t>différence</w:t>
      </w:r>
      <w:r w:rsidR="000C1209" w:rsidRPr="00202AEC">
        <w:t xml:space="preserve"> </w:t>
      </w:r>
      <w:r w:rsidR="00737694" w:rsidRPr="00202AEC">
        <w:t>est attendue</w:t>
      </w:r>
      <w:r w:rsidR="003B14EB">
        <w:t xml:space="preserve"> dans la mesure où</w:t>
      </w:r>
      <w:r w:rsidR="00737694" w:rsidRPr="00202AEC">
        <w:t xml:space="preserve"> </w:t>
      </w:r>
      <w:r w:rsidR="000C1209" w:rsidRPr="00202AEC">
        <w:t xml:space="preserve">les </w:t>
      </w:r>
      <w:r w:rsidR="001D3869" w:rsidRPr="00202AEC">
        <w:t xml:space="preserve">femmes </w:t>
      </w:r>
      <w:r w:rsidR="003B14EB">
        <w:t>sont</w:t>
      </w:r>
      <w:r w:rsidR="001D3869" w:rsidRPr="00202AEC">
        <w:t xml:space="preserve"> </w:t>
      </w:r>
      <w:r w:rsidR="002905C2" w:rsidRPr="00202AEC">
        <w:t xml:space="preserve">en quelque sorte </w:t>
      </w:r>
      <w:r w:rsidR="001D3869" w:rsidRPr="00202AEC">
        <w:t>désavantagées</w:t>
      </w:r>
      <w:r w:rsidR="002905C2" w:rsidRPr="00202AEC">
        <w:t> </w:t>
      </w:r>
      <w:r w:rsidR="001D3869" w:rsidRPr="00202AEC">
        <w:t>par la tâche</w:t>
      </w:r>
      <w:r w:rsidR="002F42AB">
        <w:t> :</w:t>
      </w:r>
      <w:r w:rsidR="001D3869" w:rsidRPr="00202AEC">
        <w:t xml:space="preserve"> </w:t>
      </w:r>
      <w:r w:rsidR="00631558" w:rsidRPr="00202AEC">
        <w:t xml:space="preserve">les stimuli </w:t>
      </w:r>
      <w:r w:rsidR="002F42AB">
        <w:t>ont en effet été conçus pour correspondre à</w:t>
      </w:r>
      <w:r w:rsidR="00631558" w:rsidRPr="00202AEC">
        <w:t xml:space="preserve"> une voix </w:t>
      </w:r>
      <w:r w:rsidR="00737694" w:rsidRPr="00202AEC">
        <w:t>masculine</w:t>
      </w:r>
      <w:r w:rsidR="00D270F7" w:rsidRPr="00202AEC">
        <w:t xml:space="preserve"> en termes de </w:t>
      </w:r>
      <w:r w:rsidR="002F42AB">
        <w:t>F</w:t>
      </w:r>
      <w:r w:rsidR="00D270F7" w:rsidRPr="00202AEC">
        <w:t>0 et de valeurs formantiques</w:t>
      </w:r>
      <w:r w:rsidR="00631558" w:rsidRPr="00202AEC">
        <w:t xml:space="preserve">, comme </w:t>
      </w:r>
      <w:r w:rsidR="006F5111">
        <w:t>mentionné précédemment</w:t>
      </w:r>
      <w:r w:rsidR="00631558" w:rsidRPr="00202AEC">
        <w:t xml:space="preserve">. </w:t>
      </w:r>
    </w:p>
    <w:p w14:paraId="52BCE7AE" w14:textId="0631757B" w:rsidR="00240221" w:rsidRDefault="00553297" w:rsidP="00523012">
      <w:pPr>
        <w:snapToGrid w:val="0"/>
        <w:spacing w:line="360" w:lineRule="auto"/>
        <w:contextualSpacing/>
        <w:jc w:val="both"/>
      </w:pPr>
      <w:r>
        <w:t xml:space="preserve">Afin de neutraliser cet effet, </w:t>
      </w:r>
      <w:r w:rsidR="00D270F7" w:rsidRPr="00202AEC">
        <w:t>les</w:t>
      </w:r>
      <w:r w:rsidR="00631558" w:rsidRPr="00202AEC">
        <w:t xml:space="preserve"> données </w:t>
      </w:r>
      <w:r w:rsidR="00D270F7" w:rsidRPr="00202AEC">
        <w:t xml:space="preserve">ont été normalisées </w:t>
      </w:r>
      <w:r>
        <w:t>à l’aide</w:t>
      </w:r>
      <w:r w:rsidR="00737694" w:rsidRPr="00202AEC">
        <w:t xml:space="preserve"> de </w:t>
      </w:r>
      <w:r w:rsidR="00631558" w:rsidRPr="00202AEC">
        <w:t>score</w:t>
      </w:r>
      <w:r w:rsidR="00737694" w:rsidRPr="00202AEC">
        <w:t xml:space="preserve">s </w:t>
      </w:r>
      <w:r w:rsidR="00737694" w:rsidRPr="00202AEC">
        <w:rPr>
          <w:i/>
          <w:iCs/>
        </w:rPr>
        <w:t>z</w:t>
      </w:r>
      <w:r w:rsidR="00600206" w:rsidRPr="00202AEC">
        <w:t xml:space="preserve">, </w:t>
      </w:r>
      <w:r w:rsidR="00631558" w:rsidRPr="00202AEC">
        <w:t xml:space="preserve">calculés </w:t>
      </w:r>
      <w:r w:rsidR="00600206" w:rsidRPr="00202AEC">
        <w:t xml:space="preserve">pour chaque sujet à partir de </w:t>
      </w:r>
      <w:r w:rsidR="00631558" w:rsidRPr="00202AEC">
        <w:t xml:space="preserve">la moyenne et </w:t>
      </w:r>
      <w:r w:rsidR="00600206" w:rsidRPr="00202AEC">
        <w:t>de</w:t>
      </w:r>
      <w:r w:rsidR="00631558" w:rsidRPr="00202AEC">
        <w:t xml:space="preserve"> l’écart</w:t>
      </w:r>
      <w:r w:rsidR="00737694" w:rsidRPr="00202AEC">
        <w:t>-</w:t>
      </w:r>
      <w:r w:rsidR="00631558" w:rsidRPr="00202AEC">
        <w:t xml:space="preserve">type de </w:t>
      </w:r>
      <w:r w:rsidR="002905C2" w:rsidRPr="00202AEC">
        <w:t xml:space="preserve">l’ensemble </w:t>
      </w:r>
      <w:r w:rsidR="00600206" w:rsidRPr="00202AEC">
        <w:t>de ses propres</w:t>
      </w:r>
      <w:r w:rsidR="002905C2" w:rsidRPr="00202AEC">
        <w:t xml:space="preserve"> distances euclidiennes </w:t>
      </w:r>
      <w:r w:rsidR="00600206" w:rsidRPr="00202AEC">
        <w:t>(</w:t>
      </w:r>
      <w:r w:rsidR="00D270F7" w:rsidRPr="00202AEC">
        <w:t>N=</w:t>
      </w:r>
      <w:r w:rsidR="00600206" w:rsidRPr="00202AEC">
        <w:t>470)</w:t>
      </w:r>
      <w:r w:rsidR="00631558" w:rsidRPr="00202AEC">
        <w:t xml:space="preserve">. </w:t>
      </w:r>
      <w:r w:rsidR="00D270F7" w:rsidRPr="00202AEC">
        <w:t>L</w:t>
      </w:r>
      <w:r w:rsidR="0091259C" w:rsidRPr="00202AEC">
        <w:t xml:space="preserve">a </w:t>
      </w:r>
      <w:r w:rsidR="002905C2" w:rsidRPr="00202AEC">
        <w:t>précédente</w:t>
      </w:r>
      <w:r w:rsidR="0091259C" w:rsidRPr="00202AEC">
        <w:t xml:space="preserve"> analyse </w:t>
      </w:r>
      <w:r>
        <w:t xml:space="preserve">de variance </w:t>
      </w:r>
      <w:r w:rsidR="00D270F7" w:rsidRPr="00202AEC">
        <w:t xml:space="preserve">relancée </w:t>
      </w:r>
      <w:r w:rsidR="0091259C" w:rsidRPr="00202AEC">
        <w:t>sur ces valeurs normalisées</w:t>
      </w:r>
      <w:r w:rsidR="00D270F7" w:rsidRPr="00202AEC">
        <w:t>, révèle</w:t>
      </w:r>
      <w:r w:rsidR="00721DF3" w:rsidRPr="00202AEC">
        <w:t xml:space="preserve"> que</w:t>
      </w:r>
      <w:r w:rsidR="0091259C" w:rsidRPr="00202AEC">
        <w:t xml:space="preserve"> </w:t>
      </w:r>
      <w:r>
        <w:t>l’effet du</w:t>
      </w:r>
      <w:r w:rsidR="0091259C" w:rsidRPr="00202AEC">
        <w:t xml:space="preserve"> </w:t>
      </w:r>
      <w:r w:rsidR="00662B6B" w:rsidRPr="00202AEC">
        <w:t>genre</w:t>
      </w:r>
      <w:r w:rsidR="0091259C" w:rsidRPr="00202AEC">
        <w:t xml:space="preserve"> n’est plus significatif</w:t>
      </w:r>
      <w:r>
        <w:t>,</w:t>
      </w:r>
      <w:r w:rsidR="00D270F7" w:rsidRPr="00202AEC">
        <w:t xml:space="preserve"> </w:t>
      </w:r>
      <w:r>
        <w:t>tandis que l’effet du</w:t>
      </w:r>
      <w:r w:rsidR="00D270F7" w:rsidRPr="00202AEC">
        <w:t xml:space="preserve"> </w:t>
      </w:r>
      <w:r w:rsidR="0091259C" w:rsidRPr="00202AEC">
        <w:t>bloc</w:t>
      </w:r>
      <w:r w:rsidR="007B6BB6" w:rsidRPr="00202AEC">
        <w:t xml:space="preserve"> reste </w:t>
      </w:r>
      <w:r>
        <w:t>présent :</w:t>
      </w:r>
      <w:r w:rsidR="007B6BB6" w:rsidRPr="00202AEC">
        <w:t xml:space="preserve"> </w:t>
      </w:r>
      <w:r w:rsidR="00D37686" w:rsidRPr="00202AEC">
        <w:rPr>
          <w:i/>
          <w:iCs/>
        </w:rPr>
        <w:t>F</w:t>
      </w:r>
      <w:r w:rsidR="00D37686" w:rsidRPr="00202AEC">
        <w:t>(4, 19260)=4</w:t>
      </w:r>
      <w:r w:rsidR="004F49E7" w:rsidRPr="00202AEC">
        <w:t>.</w:t>
      </w:r>
      <w:r w:rsidR="00D37686" w:rsidRPr="00202AEC">
        <w:t>060</w:t>
      </w:r>
      <w:r w:rsidR="00426FD8" w:rsidRPr="00202AEC">
        <w:t> </w:t>
      </w:r>
      <w:r w:rsidR="00D37686" w:rsidRPr="00202AEC">
        <w:t xml:space="preserve">; </w:t>
      </w:r>
      <w:r w:rsidR="00D37686" w:rsidRPr="00202AEC">
        <w:rPr>
          <w:i/>
          <w:iCs/>
        </w:rPr>
        <w:t>p</w:t>
      </w:r>
      <w:r w:rsidR="00D37686" w:rsidRPr="00202AEC">
        <w:t>=.003</w:t>
      </w:r>
      <w:r>
        <w:t xml:space="preserve">. De plus, </w:t>
      </w:r>
      <w:r w:rsidR="0091259C" w:rsidRPr="00202AEC">
        <w:t xml:space="preserve">l’interaction </w:t>
      </w:r>
      <w:r>
        <w:t xml:space="preserve">entre le </w:t>
      </w:r>
      <w:r w:rsidR="00D37686" w:rsidRPr="00202AEC">
        <w:t xml:space="preserve">bloc et </w:t>
      </w:r>
      <w:r>
        <w:t xml:space="preserve">le </w:t>
      </w:r>
      <w:r w:rsidR="00662B6B" w:rsidRPr="00202AEC">
        <w:t>genre</w:t>
      </w:r>
      <w:r w:rsidR="005128EB" w:rsidRPr="00202AEC">
        <w:t xml:space="preserve"> devient</w:t>
      </w:r>
      <w:r w:rsidR="00D270F7" w:rsidRPr="00202AEC">
        <w:t xml:space="preserve"> </w:t>
      </w:r>
      <w:r w:rsidR="005128EB" w:rsidRPr="00202AEC">
        <w:t>significative</w:t>
      </w:r>
      <w:r w:rsidR="00426FD8" w:rsidRPr="00202AEC">
        <w:t> </w:t>
      </w:r>
      <w:r w:rsidR="007B6BB6" w:rsidRPr="00202AEC">
        <w:t xml:space="preserve">: </w:t>
      </w:r>
      <w:r w:rsidR="00D37686" w:rsidRPr="00202AEC">
        <w:rPr>
          <w:i/>
          <w:iCs/>
        </w:rPr>
        <w:t>F</w:t>
      </w:r>
      <w:r w:rsidR="00D37686" w:rsidRPr="00202AEC">
        <w:t>(4, 19260)=3</w:t>
      </w:r>
      <w:r w:rsidR="004F49E7" w:rsidRPr="00202AEC">
        <w:t>.</w:t>
      </w:r>
      <w:r w:rsidR="00D37686" w:rsidRPr="00202AEC">
        <w:t>375</w:t>
      </w:r>
      <w:r w:rsidR="00426FD8" w:rsidRPr="00202AEC">
        <w:t> </w:t>
      </w:r>
      <w:r w:rsidR="00D37686" w:rsidRPr="00202AEC">
        <w:t xml:space="preserve">; </w:t>
      </w:r>
      <w:r w:rsidR="00D37686" w:rsidRPr="00202AEC">
        <w:rPr>
          <w:i/>
          <w:iCs/>
        </w:rPr>
        <w:t>p</w:t>
      </w:r>
      <w:r w:rsidR="00D37686" w:rsidRPr="00202AEC">
        <w:t>=.009</w:t>
      </w:r>
      <w:r w:rsidR="007B6BB6" w:rsidRPr="00202AEC">
        <w:t xml:space="preserve"> (voir </w:t>
      </w:r>
      <w:r w:rsidR="008C15CC" w:rsidRPr="00202AEC">
        <w:t>Figure 4</w:t>
      </w:r>
      <w:r w:rsidR="007B6BB6" w:rsidRPr="00202AEC">
        <w:t>)</w:t>
      </w:r>
      <w:r w:rsidR="00D37686" w:rsidRPr="00202AEC">
        <w:t>.</w:t>
      </w:r>
    </w:p>
    <w:p w14:paraId="65E2DCF6" w14:textId="77777777" w:rsidR="00EC5B31" w:rsidRPr="00202AEC" w:rsidRDefault="00EC5B31" w:rsidP="00523012">
      <w:pPr>
        <w:snapToGrid w:val="0"/>
        <w:spacing w:line="360" w:lineRule="auto"/>
        <w:contextualSpacing/>
        <w:jc w:val="both"/>
      </w:pPr>
    </w:p>
    <w:p w14:paraId="31427BD4" w14:textId="5D5746AD" w:rsidR="00D37686" w:rsidRPr="00CF4D0D" w:rsidRDefault="00EC5B31" w:rsidP="00CF4D0D">
      <w:pPr>
        <w:snapToGrid w:val="0"/>
        <w:spacing w:line="360" w:lineRule="auto"/>
        <w:ind w:firstLine="284"/>
        <w:contextualSpacing/>
        <w:jc w:val="center"/>
        <w:rPr>
          <w:b/>
          <w:bCs/>
          <w:color w:val="111111"/>
          <w:sz w:val="20"/>
          <w:szCs w:val="20"/>
        </w:rPr>
      </w:pPr>
      <w:r w:rsidRPr="00B07508">
        <w:rPr>
          <w:b/>
          <w:bCs/>
          <w:color w:val="111111"/>
          <w:sz w:val="20"/>
          <w:szCs w:val="20"/>
        </w:rPr>
        <w:t xml:space="preserve">Figure 4. Effet croisé du genre (F : féminin, en bleu ; M : masculin, en rouge) et du bloc de répétition (1 à 5) sur la distance euclidienne moyenne (scores z) entre cible et reproduction dans l’espace F1-F2-F3 </w:t>
      </w:r>
    </w:p>
    <w:p w14:paraId="7CD86EEF" w14:textId="57F27289" w:rsidR="004A561D" w:rsidRPr="00202AEC" w:rsidRDefault="00B420EF" w:rsidP="00DF24FC">
      <w:pPr>
        <w:snapToGrid w:val="0"/>
        <w:spacing w:line="360" w:lineRule="auto"/>
        <w:ind w:firstLine="284"/>
        <w:contextualSpacing/>
        <w:jc w:val="center"/>
        <w:rPr>
          <w:color w:val="111111"/>
          <w:sz w:val="22"/>
          <w:szCs w:val="22"/>
        </w:rPr>
      </w:pPr>
      <w:r>
        <w:rPr>
          <w:noProof/>
          <w:color w:val="111111"/>
          <w:sz w:val="22"/>
          <w:szCs w:val="22"/>
        </w:rPr>
        <w:drawing>
          <wp:inline distT="0" distB="0" distL="0" distR="0" wp14:anchorId="0B20CE03" wp14:editId="7D731B48">
            <wp:extent cx="4158472" cy="2703007"/>
            <wp:effectExtent l="0" t="0" r="0" b="2540"/>
            <wp:docPr id="17" name="Image 17" descr="Une image contenant ligne, diagramme, text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ligne, diagramme, texte, Tracé&#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64641" cy="2707017"/>
                    </a:xfrm>
                    <a:prstGeom prst="rect">
                      <a:avLst/>
                    </a:prstGeom>
                  </pic:spPr>
                </pic:pic>
              </a:graphicData>
            </a:graphic>
          </wp:inline>
        </w:drawing>
      </w:r>
    </w:p>
    <w:p w14:paraId="4217532F" w14:textId="6AE3C850" w:rsidR="001F3B66" w:rsidRPr="00202AEC" w:rsidRDefault="004A561D" w:rsidP="00523012">
      <w:pPr>
        <w:snapToGrid w:val="0"/>
        <w:spacing w:line="360" w:lineRule="auto"/>
        <w:contextualSpacing/>
        <w:jc w:val="both"/>
      </w:pPr>
      <w:r w:rsidRPr="00202AEC">
        <w:t xml:space="preserve">Afin d’affiner l’interprétation des résultats, des analyses post-hoc distinctes </w:t>
      </w:r>
      <w:r w:rsidR="00D270F7" w:rsidRPr="00202AEC">
        <w:t xml:space="preserve">ont été </w:t>
      </w:r>
      <w:r w:rsidR="00942961">
        <w:t>menées</w:t>
      </w:r>
      <w:r w:rsidR="00D270F7" w:rsidRPr="00202AEC">
        <w:t xml:space="preserve"> </w:t>
      </w:r>
      <w:r w:rsidRPr="00202AEC">
        <w:t xml:space="preserve">en fonction du genre, en examinant séparément les performances des hommes et des femmes. Ces analyses visent à préciser les différences entre les blocs au sein des sous-populations, en tenant </w:t>
      </w:r>
      <w:r w:rsidRPr="00202AEC">
        <w:lastRenderedPageBreak/>
        <w:t xml:space="preserve">compte de l’interaction significative identifiée précédemment. </w:t>
      </w:r>
      <w:r w:rsidR="0085016C" w:rsidRPr="00202AEC">
        <w:t>Chez les femmes, le test</w:t>
      </w:r>
      <w:r w:rsidR="002905C2" w:rsidRPr="00202AEC">
        <w:t xml:space="preserve"> </w:t>
      </w:r>
      <w:r w:rsidR="00942961">
        <w:t xml:space="preserve">de </w:t>
      </w:r>
      <w:r w:rsidR="002905C2" w:rsidRPr="00202AEC">
        <w:t>Tukey indique une différence significative uniquement entre le bloc 1</w:t>
      </w:r>
      <w:r w:rsidR="00942961">
        <w:t>,</w:t>
      </w:r>
      <w:r w:rsidR="002905C2" w:rsidRPr="00202AEC">
        <w:t xml:space="preserve"> d’une part</w:t>
      </w:r>
      <w:r w:rsidR="00942961">
        <w:t>,</w:t>
      </w:r>
      <w:r w:rsidR="002905C2" w:rsidRPr="00202AEC">
        <w:t xml:space="preserve"> et</w:t>
      </w:r>
      <w:r w:rsidR="00FE2D21" w:rsidRPr="00202AEC">
        <w:t xml:space="preserve"> les blocs 4 et</w:t>
      </w:r>
      <w:r w:rsidR="002905C2" w:rsidRPr="00202AEC">
        <w:t xml:space="preserve"> 5</w:t>
      </w:r>
      <w:r w:rsidR="00942961">
        <w:t>,</w:t>
      </w:r>
      <w:r w:rsidR="002905C2" w:rsidRPr="00202AEC">
        <w:t xml:space="preserve"> d’autre part. Les performances </w:t>
      </w:r>
      <w:r w:rsidR="00942961">
        <w:t>apparaissent</w:t>
      </w:r>
      <w:r w:rsidR="002905C2" w:rsidRPr="00202AEC">
        <w:t xml:space="preserve"> donc légèrement moins bonnes pour les deux derniers blocs</w:t>
      </w:r>
      <w:r w:rsidR="00942961">
        <w:t xml:space="preserve">, bien que la taille </w:t>
      </w:r>
      <w:r w:rsidR="002905C2" w:rsidRPr="00202AEC">
        <w:t xml:space="preserve">de l’effet </w:t>
      </w:r>
      <w:r w:rsidR="00942961">
        <w:t>reste</w:t>
      </w:r>
      <w:r w:rsidR="002905C2" w:rsidRPr="00202AEC">
        <w:t xml:space="preserve"> faible</w:t>
      </w:r>
      <w:r w:rsidR="00426FD8" w:rsidRPr="00202AEC">
        <w:t> </w:t>
      </w:r>
      <w:r w:rsidR="00942961">
        <w:t>(</w:t>
      </w:r>
      <w:r w:rsidR="002905C2" w:rsidRPr="00202AEC">
        <w:rPr>
          <w:rStyle w:val="mord"/>
          <w:i/>
          <w:iCs/>
        </w:rPr>
        <w:t>η2</w:t>
      </w:r>
      <w:r w:rsidR="002905C2" w:rsidRPr="00202AEC">
        <w:t xml:space="preserve">=.002). </w:t>
      </w:r>
      <w:r w:rsidR="002A5CD4" w:rsidRPr="00202AEC">
        <w:t xml:space="preserve">Chez les hommes, </w:t>
      </w:r>
      <w:r w:rsidR="00E22CF0" w:rsidRPr="00202AEC">
        <w:t xml:space="preserve">les tests post-hoc de </w:t>
      </w:r>
      <w:r w:rsidR="002905C2" w:rsidRPr="00202AEC">
        <w:t>Tukey</w:t>
      </w:r>
      <w:r w:rsidR="00E22CF0" w:rsidRPr="00202AEC">
        <w:t xml:space="preserve"> révèlent </w:t>
      </w:r>
      <w:r w:rsidR="00120373" w:rsidRPr="00202AEC">
        <w:t xml:space="preserve">uniquement </w:t>
      </w:r>
      <w:r w:rsidR="007E70A4" w:rsidRPr="00202AEC">
        <w:t>une</w:t>
      </w:r>
      <w:r w:rsidR="00E22CF0" w:rsidRPr="00202AEC">
        <w:t xml:space="preserve"> différence significative entre </w:t>
      </w:r>
      <w:r w:rsidR="00120373" w:rsidRPr="00202AEC">
        <w:t>les blocs 1 et 2</w:t>
      </w:r>
      <w:r w:rsidR="00942961">
        <w:t>, avec là encore une</w:t>
      </w:r>
      <w:r w:rsidR="001F3B66" w:rsidRPr="00202AEC">
        <w:t xml:space="preserve"> taille de l’effet </w:t>
      </w:r>
      <w:r w:rsidR="00942961">
        <w:t>réduite</w:t>
      </w:r>
      <w:r w:rsidR="00426FD8" w:rsidRPr="00202AEC">
        <w:t> </w:t>
      </w:r>
      <w:r w:rsidR="00942961">
        <w:t>(</w:t>
      </w:r>
      <w:r w:rsidR="001F3B66" w:rsidRPr="00202AEC">
        <w:rPr>
          <w:rStyle w:val="mord"/>
          <w:i/>
          <w:iCs/>
        </w:rPr>
        <w:t>η2</w:t>
      </w:r>
      <w:r w:rsidR="001F3B66" w:rsidRPr="00202AEC">
        <w:t>=.00</w:t>
      </w:r>
      <w:r w:rsidR="00BB2342" w:rsidRPr="00202AEC">
        <w:t>3</w:t>
      </w:r>
      <w:r w:rsidR="001F3B66" w:rsidRPr="00202AEC">
        <w:t>)</w:t>
      </w:r>
      <w:r w:rsidR="00120373" w:rsidRPr="00202AEC">
        <w:t>.</w:t>
      </w:r>
      <w:r w:rsidR="00FE2D21" w:rsidRPr="00202AEC">
        <w:t xml:space="preserve"> </w:t>
      </w:r>
      <w:r w:rsidR="00942961">
        <w:t>Ce résultat suggère</w:t>
      </w:r>
      <w:r w:rsidR="00BF5B5F" w:rsidRPr="00202AEC">
        <w:t xml:space="preserve"> </w:t>
      </w:r>
      <w:r w:rsidR="00AF1714">
        <w:t xml:space="preserve">néanmoins </w:t>
      </w:r>
      <w:r w:rsidR="00BF5B5F" w:rsidRPr="00202AEC">
        <w:t xml:space="preserve">un </w:t>
      </w:r>
      <w:r w:rsidR="00942961">
        <w:t xml:space="preserve">léger </w:t>
      </w:r>
      <w:r w:rsidR="00BF5B5F" w:rsidRPr="00202AEC">
        <w:t xml:space="preserve">gain de performance entre le premier et le deuxième bloc. </w:t>
      </w:r>
    </w:p>
    <w:p w14:paraId="6E9A217F" w14:textId="77777777" w:rsidR="00D150E0" w:rsidRPr="00202AEC" w:rsidRDefault="00D150E0" w:rsidP="00523012">
      <w:pPr>
        <w:snapToGrid w:val="0"/>
        <w:spacing w:line="360" w:lineRule="auto"/>
        <w:contextualSpacing/>
        <w:jc w:val="both"/>
      </w:pPr>
    </w:p>
    <w:p w14:paraId="31B76E8D" w14:textId="527B3DA9" w:rsidR="006F0281" w:rsidRPr="00A51245" w:rsidRDefault="00FC73DF" w:rsidP="006F0281">
      <w:pPr>
        <w:pStyle w:val="Paragraphedeliste"/>
        <w:numPr>
          <w:ilvl w:val="1"/>
          <w:numId w:val="1"/>
        </w:numPr>
        <w:snapToGrid w:val="0"/>
        <w:spacing w:line="360" w:lineRule="auto"/>
        <w:ind w:hanging="87"/>
        <w:jc w:val="both"/>
        <w:rPr>
          <w:b/>
          <w:bCs/>
        </w:rPr>
      </w:pPr>
      <w:r w:rsidRPr="00202AEC">
        <w:rPr>
          <w:b/>
          <w:bCs/>
        </w:rPr>
        <w:t>Analyse des indices</w:t>
      </w:r>
      <w:r w:rsidR="0008264D" w:rsidRPr="00202AEC">
        <w:rPr>
          <w:b/>
          <w:bCs/>
        </w:rPr>
        <w:t xml:space="preserve"> </w:t>
      </w:r>
      <w:r w:rsidR="00742043" w:rsidRPr="00202AEC">
        <w:rPr>
          <w:b/>
          <w:bCs/>
        </w:rPr>
        <w:t>de compliance</w:t>
      </w:r>
      <w:r w:rsidR="0008264D" w:rsidRPr="00202AEC">
        <w:rPr>
          <w:b/>
          <w:bCs/>
        </w:rPr>
        <w:t xml:space="preserve"> </w:t>
      </w:r>
    </w:p>
    <w:p w14:paraId="7DF5993F" w14:textId="3FD5E821" w:rsidR="00C132D5" w:rsidRDefault="006F0281" w:rsidP="006F0281">
      <w:pPr>
        <w:spacing w:line="360" w:lineRule="auto"/>
        <w:jc w:val="both"/>
      </w:pPr>
      <w:r w:rsidRPr="00202AEC">
        <w:t>Dans cette section, nous allons approfondir l’analyse présentée à la section précédente en examinant les performances en compliance phonique</w:t>
      </w:r>
      <w:r w:rsidR="00C132D5">
        <w:t xml:space="preserve"> à travers les trois indices définis précédemment : l’indice 1, qui mesure la distance euclidienne entre la cible et la production ; l’indice 2, qui évalue la variance des variances des reproductions selon les cibles ; et l’indice 3, qui correspond à une distance euclidienne pondérée en fonction de l’éloignement aux catégories vocaliques de la L1.</w:t>
      </w:r>
    </w:p>
    <w:p w14:paraId="01BCE45A" w14:textId="2F77AB90" w:rsidR="0061297B" w:rsidRPr="00C132D5" w:rsidRDefault="006F0281" w:rsidP="00C132D5">
      <w:pPr>
        <w:spacing w:line="360" w:lineRule="auto"/>
        <w:jc w:val="both"/>
      </w:pPr>
      <w:r w:rsidRPr="00202AEC">
        <w:t xml:space="preserve">Pour chaque </w:t>
      </w:r>
      <w:r w:rsidR="00AF1714">
        <w:t>participant</w:t>
      </w:r>
      <w:r w:rsidRPr="00202AEC">
        <w:t xml:space="preserve">, une valeur unique est calculée pour chacun de ces trois indices, permettant de </w:t>
      </w:r>
      <w:r w:rsidR="00C132D5">
        <w:t>résumer</w:t>
      </w:r>
      <w:r w:rsidRPr="00202AEC">
        <w:t xml:space="preserve"> l’information issue </w:t>
      </w:r>
      <w:r w:rsidR="00C132D5">
        <w:t>de l’ensemble des</w:t>
      </w:r>
      <w:r w:rsidRPr="00202AEC">
        <w:t xml:space="preserve"> productions de toutes les voyelles à travers tous les blocs. Ainsi, pour chaque sujet, les performances globales sont synthétisées en trois valeurs, une pour chaque indice. </w:t>
      </w:r>
    </w:p>
    <w:p w14:paraId="37F4FE35" w14:textId="77777777" w:rsidR="00C132D5" w:rsidRPr="00C132D5" w:rsidRDefault="00C132D5" w:rsidP="00DF24FC">
      <w:pPr>
        <w:snapToGrid w:val="0"/>
        <w:spacing w:line="360" w:lineRule="auto"/>
        <w:contextualSpacing/>
        <w:jc w:val="both"/>
      </w:pPr>
    </w:p>
    <w:p w14:paraId="49AB964D" w14:textId="7D964519" w:rsidR="00A02A16" w:rsidRPr="00A51245" w:rsidRDefault="00A02A16" w:rsidP="00A51245">
      <w:pPr>
        <w:pStyle w:val="Paragraphedeliste"/>
        <w:numPr>
          <w:ilvl w:val="3"/>
          <w:numId w:val="1"/>
        </w:numPr>
        <w:snapToGrid w:val="0"/>
        <w:spacing w:line="360" w:lineRule="auto"/>
        <w:jc w:val="both"/>
        <w:rPr>
          <w:b/>
          <w:bCs/>
        </w:rPr>
      </w:pPr>
      <w:r w:rsidRPr="00202AEC">
        <w:rPr>
          <w:b/>
          <w:bCs/>
        </w:rPr>
        <w:t>Corrélations entre les indices de compliance</w:t>
      </w:r>
    </w:p>
    <w:p w14:paraId="5B3CEC87" w14:textId="7358AFAB" w:rsidR="00026BB6" w:rsidRPr="00202AEC" w:rsidRDefault="003B4973" w:rsidP="00523012">
      <w:pPr>
        <w:snapToGrid w:val="0"/>
        <w:spacing w:line="360" w:lineRule="auto"/>
        <w:contextualSpacing/>
        <w:jc w:val="both"/>
      </w:pPr>
      <w:r w:rsidRPr="00202AEC">
        <w:t>D</w:t>
      </w:r>
      <w:r w:rsidR="00A02A16" w:rsidRPr="00202AEC">
        <w:t xml:space="preserve">es analyses de corrélation </w:t>
      </w:r>
      <w:r w:rsidR="00761F01" w:rsidRPr="00202AEC">
        <w:t xml:space="preserve">(corrélations de Pearson) </w:t>
      </w:r>
      <w:r w:rsidR="00A02A16" w:rsidRPr="00202AEC">
        <w:t xml:space="preserve">ont </w:t>
      </w:r>
      <w:r w:rsidR="00761F01" w:rsidRPr="00202AEC">
        <w:t xml:space="preserve">été réalisées entre les trois indices de compliance. </w:t>
      </w:r>
      <w:r w:rsidR="00026BB6">
        <w:t>É</w:t>
      </w:r>
      <w:r w:rsidR="00364E7F" w:rsidRPr="00202AEC">
        <w:t>tant donné leur mode de calcul</w:t>
      </w:r>
      <w:r w:rsidR="00026BB6">
        <w:t xml:space="preserve"> respectif</w:t>
      </w:r>
      <w:r w:rsidR="00364E7F" w:rsidRPr="00202AEC">
        <w:t xml:space="preserve">, </w:t>
      </w:r>
      <w:r w:rsidR="00026BB6">
        <w:t xml:space="preserve">ces indices sont supposés </w:t>
      </w:r>
      <w:r w:rsidR="00BA22CD">
        <w:t>produire des valeurs partiellement corrélées chez</w:t>
      </w:r>
      <w:r w:rsidR="00026BB6">
        <w:t xml:space="preserve"> un même individu, bien qu’ils aient été conçus pour évaluer des dimensions complémentaires de la performance, comme détaillé précédemment.</w:t>
      </w:r>
    </w:p>
    <w:p w14:paraId="2F7A3587" w14:textId="22C2D471" w:rsidR="006F0281" w:rsidRPr="00202AEC" w:rsidRDefault="00C63BF3" w:rsidP="006F0281">
      <w:pPr>
        <w:snapToGrid w:val="0"/>
        <w:spacing w:line="360" w:lineRule="auto"/>
        <w:contextualSpacing/>
        <w:jc w:val="both"/>
        <w:rPr>
          <w:iCs/>
        </w:rPr>
      </w:pPr>
      <w:r w:rsidRPr="00202AEC">
        <w:t>L</w:t>
      </w:r>
      <w:r w:rsidR="00761F01" w:rsidRPr="00202AEC">
        <w:t xml:space="preserve">es analyses </w:t>
      </w:r>
      <w:r w:rsidR="00BA22CD">
        <w:t xml:space="preserve">révèlent plusieurs </w:t>
      </w:r>
      <w:r w:rsidR="00A02A16" w:rsidRPr="00202AEC">
        <w:t xml:space="preserve">relations </w:t>
      </w:r>
      <w:r w:rsidR="00761F01" w:rsidRPr="00202AEC">
        <w:t>significatives</w:t>
      </w:r>
      <w:r w:rsidR="00BA22CD">
        <w:t>. U</w:t>
      </w:r>
      <w:r w:rsidR="00A02A16" w:rsidRPr="00202AEC">
        <w:t>ne</w:t>
      </w:r>
      <w:r w:rsidR="00BA22CD">
        <w:t xml:space="preserve"> </w:t>
      </w:r>
      <w:r w:rsidR="00A02A16" w:rsidRPr="00202AEC">
        <w:t xml:space="preserve">corrélation modérée </w:t>
      </w:r>
      <w:r w:rsidR="00761F01" w:rsidRPr="00202AEC">
        <w:t>(</w:t>
      </w:r>
      <w:r w:rsidRPr="00202AEC">
        <w:t xml:space="preserve">ainsi qualifiée </w:t>
      </w:r>
      <w:r w:rsidR="00761F01" w:rsidRPr="00202AEC">
        <w:t xml:space="preserve">suivant les préconisations de Dancey &amp; Reidy, 2004) </w:t>
      </w:r>
      <w:r w:rsidR="00BA22CD">
        <w:t>est</w:t>
      </w:r>
      <w:r w:rsidR="00A02A16" w:rsidRPr="00202AEC">
        <w:t xml:space="preserve"> observée entre l’indice 1 et l’indice 2 (</w:t>
      </w:r>
      <w:r w:rsidR="00A02A16" w:rsidRPr="00202AEC">
        <w:rPr>
          <w:i/>
          <w:iCs/>
        </w:rPr>
        <w:t>r</w:t>
      </w:r>
      <w:r w:rsidR="00741793" w:rsidRPr="00202AEC">
        <w:rPr>
          <w:i/>
          <w:iCs/>
        </w:rPr>
        <w:t>(39)</w:t>
      </w:r>
      <w:r w:rsidR="00A02A16" w:rsidRPr="00202AEC">
        <w:t>=</w:t>
      </w:r>
      <w:r w:rsidR="004F49E7" w:rsidRPr="00202AEC">
        <w:t>.</w:t>
      </w:r>
      <w:r w:rsidR="00A02A16" w:rsidRPr="00202AEC">
        <w:t>425</w:t>
      </w:r>
      <w:r w:rsidR="00A55A60" w:rsidRPr="00202AEC">
        <w:t> ;</w:t>
      </w:r>
      <w:r w:rsidR="00A02A16" w:rsidRPr="00202AEC">
        <w:t xml:space="preserve"> </w:t>
      </w:r>
      <w:r w:rsidR="00A02A16" w:rsidRPr="00202AEC">
        <w:rPr>
          <w:i/>
        </w:rPr>
        <w:t>p</w:t>
      </w:r>
      <w:r w:rsidR="00A02A16" w:rsidRPr="00202AEC">
        <w:rPr>
          <w:iCs/>
        </w:rPr>
        <w:t>&lt;</w:t>
      </w:r>
      <w:r w:rsidR="004F49E7" w:rsidRPr="00202AEC">
        <w:rPr>
          <w:iCs/>
        </w:rPr>
        <w:t>.</w:t>
      </w:r>
      <w:r w:rsidR="00A02A16" w:rsidRPr="00202AEC">
        <w:rPr>
          <w:iCs/>
        </w:rPr>
        <w:t xml:space="preserve">001), suggérant une association positive entre ces deux indices. Une corrélation très forte et négative </w:t>
      </w:r>
      <w:r w:rsidR="00BA22CD">
        <w:rPr>
          <w:iCs/>
        </w:rPr>
        <w:t>est</w:t>
      </w:r>
      <w:r w:rsidR="00A02A16" w:rsidRPr="00202AEC">
        <w:rPr>
          <w:iCs/>
        </w:rPr>
        <w:t xml:space="preserve"> </w:t>
      </w:r>
      <w:r w:rsidR="00F343DC" w:rsidRPr="00202AEC">
        <w:rPr>
          <w:iCs/>
        </w:rPr>
        <w:t>mise en évidence</w:t>
      </w:r>
      <w:r w:rsidR="00A02A16" w:rsidRPr="00202AEC">
        <w:rPr>
          <w:iCs/>
        </w:rPr>
        <w:t xml:space="preserve"> entre l’indice 1 et </w:t>
      </w:r>
      <w:r w:rsidR="000F056E">
        <w:rPr>
          <w:iCs/>
        </w:rPr>
        <w:t xml:space="preserve">l’indice </w:t>
      </w:r>
      <w:r w:rsidR="00A02A16" w:rsidRPr="00202AEC">
        <w:rPr>
          <w:iCs/>
        </w:rPr>
        <w:t xml:space="preserve">3 </w:t>
      </w:r>
      <w:r w:rsidR="00A02A16" w:rsidRPr="00202AEC">
        <w:t>(</w:t>
      </w:r>
      <w:r w:rsidR="00A02A16" w:rsidRPr="00202AEC">
        <w:rPr>
          <w:i/>
          <w:iCs/>
        </w:rPr>
        <w:t>r</w:t>
      </w:r>
      <w:r w:rsidR="00741793" w:rsidRPr="00202AEC">
        <w:rPr>
          <w:i/>
          <w:iCs/>
        </w:rPr>
        <w:t>(39)</w:t>
      </w:r>
      <w:r w:rsidR="00A02A16" w:rsidRPr="00202AEC">
        <w:t>=-</w:t>
      </w:r>
      <w:r w:rsidR="004F49E7" w:rsidRPr="00202AEC">
        <w:t>.</w:t>
      </w:r>
      <w:r w:rsidR="00A02A16" w:rsidRPr="00202AEC">
        <w:t>894</w:t>
      </w:r>
      <w:r w:rsidR="00426FD8" w:rsidRPr="00202AEC">
        <w:t> </w:t>
      </w:r>
      <w:r w:rsidR="00A55A60" w:rsidRPr="00202AEC">
        <w:t>;</w:t>
      </w:r>
      <w:r w:rsidR="00A02A16" w:rsidRPr="00202AEC">
        <w:t xml:space="preserve"> </w:t>
      </w:r>
      <w:r w:rsidR="00A02A16" w:rsidRPr="00202AEC">
        <w:rPr>
          <w:i/>
        </w:rPr>
        <w:t>p</w:t>
      </w:r>
      <w:r w:rsidR="00A02A16" w:rsidRPr="00202AEC">
        <w:rPr>
          <w:iCs/>
        </w:rPr>
        <w:t>&lt;</w:t>
      </w:r>
      <w:r w:rsidR="004F49E7" w:rsidRPr="00202AEC">
        <w:rPr>
          <w:iCs/>
        </w:rPr>
        <w:t>.</w:t>
      </w:r>
      <w:r w:rsidR="00A02A16" w:rsidRPr="00202AEC">
        <w:rPr>
          <w:iCs/>
        </w:rPr>
        <w:t xml:space="preserve">001), </w:t>
      </w:r>
      <w:r w:rsidR="00F343DC" w:rsidRPr="00202AEC">
        <w:rPr>
          <w:iCs/>
        </w:rPr>
        <w:t xml:space="preserve">ce qui reflète la relation structurelle attendue entre ces deux </w:t>
      </w:r>
      <w:r w:rsidRPr="00202AEC">
        <w:rPr>
          <w:iCs/>
        </w:rPr>
        <w:t>métriques étant donné leur mode de calcul</w:t>
      </w:r>
      <w:r w:rsidR="00F343DC" w:rsidRPr="00202AEC">
        <w:rPr>
          <w:iCs/>
        </w:rPr>
        <w:t xml:space="preserve">. </w:t>
      </w:r>
      <w:r w:rsidRPr="00202AEC">
        <w:rPr>
          <w:iCs/>
        </w:rPr>
        <w:t>Sur le fond, la force de la relation indique néanmoins que</w:t>
      </w:r>
      <w:r w:rsidR="00F343DC" w:rsidRPr="00202AEC">
        <w:rPr>
          <w:iCs/>
        </w:rPr>
        <w:t>, plus un sujet se rapproche des cibles (indice 1 faible), plus il s’éloigne simultanément des zones correspondant à sa L1 (indice 3 élevé), et inversement.</w:t>
      </w:r>
      <w:r w:rsidR="00A02A16" w:rsidRPr="00202AEC">
        <w:rPr>
          <w:iCs/>
        </w:rPr>
        <w:t xml:space="preserve"> Enfin, </w:t>
      </w:r>
      <w:r w:rsidR="009E4C0B" w:rsidRPr="00202AEC">
        <w:rPr>
          <w:iCs/>
        </w:rPr>
        <w:t xml:space="preserve">la corrélation entre les indices 2 </w:t>
      </w:r>
      <w:r w:rsidR="009E4C0B" w:rsidRPr="00202AEC">
        <w:rPr>
          <w:iCs/>
        </w:rPr>
        <w:lastRenderedPageBreak/>
        <w:t xml:space="preserve">et 3 est </w:t>
      </w:r>
      <w:r w:rsidR="00955BC5" w:rsidRPr="00202AEC">
        <w:rPr>
          <w:iCs/>
        </w:rPr>
        <w:t xml:space="preserve">négative et </w:t>
      </w:r>
      <w:r w:rsidRPr="00202AEC">
        <w:rPr>
          <w:iCs/>
        </w:rPr>
        <w:t xml:space="preserve">de </w:t>
      </w:r>
      <w:r w:rsidR="00955BC5" w:rsidRPr="00202AEC">
        <w:rPr>
          <w:iCs/>
        </w:rPr>
        <w:t>faible</w:t>
      </w:r>
      <w:r w:rsidRPr="00202AEC">
        <w:rPr>
          <w:iCs/>
        </w:rPr>
        <w:t xml:space="preserve"> ampleur</w:t>
      </w:r>
      <w:r w:rsidR="009E4C0B" w:rsidRPr="00202AEC">
        <w:rPr>
          <w:iCs/>
        </w:rPr>
        <w:t xml:space="preserve"> (</w:t>
      </w:r>
      <w:r w:rsidR="009E4C0B" w:rsidRPr="00202AEC">
        <w:rPr>
          <w:i/>
          <w:iCs/>
        </w:rPr>
        <w:t>r</w:t>
      </w:r>
      <w:r w:rsidR="00741793" w:rsidRPr="00202AEC">
        <w:rPr>
          <w:i/>
          <w:iCs/>
        </w:rPr>
        <w:t>(39)</w:t>
      </w:r>
      <w:r w:rsidR="009E4C0B" w:rsidRPr="00202AEC">
        <w:t>=-.199</w:t>
      </w:r>
      <w:r w:rsidR="00426FD8" w:rsidRPr="00202AEC">
        <w:t> </w:t>
      </w:r>
      <w:r w:rsidR="009E4C0B" w:rsidRPr="00202AEC">
        <w:t xml:space="preserve">; </w:t>
      </w:r>
      <w:r w:rsidR="009E4C0B" w:rsidRPr="00202AEC">
        <w:rPr>
          <w:i/>
        </w:rPr>
        <w:t>p</w:t>
      </w:r>
      <w:r w:rsidR="009E4C0B" w:rsidRPr="00202AEC">
        <w:rPr>
          <w:iCs/>
        </w:rPr>
        <w:t>&lt;.001)</w:t>
      </w:r>
      <w:r w:rsidRPr="00202AEC">
        <w:rPr>
          <w:iCs/>
        </w:rPr>
        <w:t>, ce qui suggère que ces indices capturent chacun une facette complémentaire de la performance en reproduction phonétique.</w:t>
      </w:r>
      <w:r w:rsidR="00F1207D" w:rsidRPr="00202AEC">
        <w:rPr>
          <w:iCs/>
        </w:rPr>
        <w:t xml:space="preserve"> </w:t>
      </w:r>
    </w:p>
    <w:p w14:paraId="6D2EACAC" w14:textId="17D5164F" w:rsidR="006F0281" w:rsidRDefault="006F0281" w:rsidP="006F0281">
      <w:pPr>
        <w:snapToGrid w:val="0"/>
        <w:spacing w:line="360" w:lineRule="auto"/>
        <w:contextualSpacing/>
        <w:jc w:val="both"/>
      </w:pPr>
      <w:r w:rsidRPr="00202AEC">
        <w:t>Ces relations sont illustrées à la Figure 5, qui présente les nuages de points obtenus pour chacune des combinaisons de paires d’indices, calculés sur les scores z.</w:t>
      </w:r>
    </w:p>
    <w:p w14:paraId="64C592FB" w14:textId="77777777" w:rsidR="00EC5B31" w:rsidRPr="00202AEC" w:rsidRDefault="00EC5B31" w:rsidP="006F0281">
      <w:pPr>
        <w:snapToGrid w:val="0"/>
        <w:spacing w:line="360" w:lineRule="auto"/>
        <w:contextualSpacing/>
        <w:jc w:val="both"/>
        <w:rPr>
          <w:iCs/>
        </w:rPr>
      </w:pPr>
    </w:p>
    <w:p w14:paraId="15FE25EE" w14:textId="0AA49D5E" w:rsidR="006F0281" w:rsidRPr="00B07508" w:rsidRDefault="00EC5B31" w:rsidP="00EC5B31">
      <w:pPr>
        <w:snapToGrid w:val="0"/>
        <w:spacing w:line="360" w:lineRule="auto"/>
        <w:ind w:firstLine="284"/>
        <w:contextualSpacing/>
        <w:jc w:val="center"/>
        <w:rPr>
          <w:b/>
          <w:bCs/>
          <w:color w:val="111111"/>
          <w:sz w:val="20"/>
          <w:szCs w:val="20"/>
        </w:rPr>
      </w:pPr>
      <w:r w:rsidRPr="00B07508">
        <w:rPr>
          <w:b/>
          <w:bCs/>
          <w:color w:val="111111"/>
          <w:sz w:val="20"/>
          <w:szCs w:val="20"/>
        </w:rPr>
        <w:t>Figure 5. Corrélations entre les trois indices de compliance phonique : (a) Indice 1 vs Indice 2 ; (b) Indice 1 vs Indice 3 ; (c) Indice 2 vs Indice 3 (scores z)</w:t>
      </w:r>
    </w:p>
    <w:p w14:paraId="5201E185" w14:textId="15D676F9" w:rsidR="006F0281" w:rsidRDefault="00350BD5" w:rsidP="00350BD5">
      <w:pPr>
        <w:snapToGrid w:val="0"/>
        <w:spacing w:line="360" w:lineRule="auto"/>
        <w:ind w:firstLine="284"/>
        <w:contextualSpacing/>
        <w:jc w:val="center"/>
      </w:pPr>
      <w:r>
        <w:rPr>
          <w:noProof/>
        </w:rPr>
        <w:drawing>
          <wp:inline distT="0" distB="0" distL="0" distR="0" wp14:anchorId="5F9EF736" wp14:editId="3417BE8D">
            <wp:extent cx="5501435" cy="1448555"/>
            <wp:effectExtent l="0" t="0" r="0" b="0"/>
            <wp:docPr id="23" name="Image 23" descr="Une image contenant ligne, Tracé, diagramm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descr="Une image contenant ligne, Tracé, diagramme, texte&#10;&#10;Description générée automatiqueme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15773" cy="1452330"/>
                    </a:xfrm>
                    <a:prstGeom prst="rect">
                      <a:avLst/>
                    </a:prstGeom>
                  </pic:spPr>
                </pic:pic>
              </a:graphicData>
            </a:graphic>
          </wp:inline>
        </w:drawing>
      </w:r>
    </w:p>
    <w:p w14:paraId="754285C2" w14:textId="77777777" w:rsidR="00EC5B31" w:rsidRPr="00202AEC" w:rsidRDefault="00EC5B31" w:rsidP="006F0281">
      <w:pPr>
        <w:snapToGrid w:val="0"/>
        <w:spacing w:line="360" w:lineRule="auto"/>
        <w:ind w:firstLine="284"/>
        <w:contextualSpacing/>
        <w:jc w:val="center"/>
      </w:pPr>
    </w:p>
    <w:p w14:paraId="0B1FC76A" w14:textId="34D24B32" w:rsidR="00A02A16" w:rsidRPr="00A51245" w:rsidRDefault="00A02A16" w:rsidP="00DF24FC">
      <w:pPr>
        <w:pStyle w:val="Paragraphedeliste"/>
        <w:numPr>
          <w:ilvl w:val="3"/>
          <w:numId w:val="1"/>
        </w:numPr>
        <w:snapToGrid w:val="0"/>
        <w:spacing w:line="360" w:lineRule="auto"/>
        <w:jc w:val="both"/>
        <w:rPr>
          <w:b/>
          <w:bCs/>
        </w:rPr>
      </w:pPr>
      <w:r w:rsidRPr="00202AEC">
        <w:rPr>
          <w:b/>
          <w:bCs/>
        </w:rPr>
        <w:t>Analyse des indices 1, 2 et 3</w:t>
      </w:r>
    </w:p>
    <w:p w14:paraId="08713509" w14:textId="3BBDCE47" w:rsidR="003C792E" w:rsidRPr="00202AEC" w:rsidRDefault="008A33A2" w:rsidP="00523012">
      <w:pPr>
        <w:pStyle w:val="Paragraphedeliste"/>
        <w:snapToGrid w:val="0"/>
        <w:spacing w:line="360" w:lineRule="auto"/>
        <w:ind w:left="0"/>
        <w:jc w:val="both"/>
      </w:pPr>
      <w:r w:rsidRPr="00202AEC">
        <w:t>Une</w:t>
      </w:r>
      <w:r w:rsidR="00EA01B6" w:rsidRPr="00202AEC">
        <w:t xml:space="preserve"> analyse </w:t>
      </w:r>
      <w:r w:rsidR="00906815" w:rsidRPr="00202AEC">
        <w:t xml:space="preserve">de variance </w:t>
      </w:r>
      <w:r w:rsidR="00374FEA" w:rsidRPr="00202AEC">
        <w:t>multivariée (</w:t>
      </w:r>
      <w:r w:rsidR="00EA01B6" w:rsidRPr="00202AEC">
        <w:t>MANOVA</w:t>
      </w:r>
      <w:r w:rsidR="00374FEA" w:rsidRPr="00202AEC">
        <w:t>)</w:t>
      </w:r>
      <w:r w:rsidR="000F7904" w:rsidRPr="00202AEC">
        <w:t xml:space="preserve"> a été réalisée en </w:t>
      </w:r>
      <w:r w:rsidRPr="00202AEC">
        <w:t>considérant</w:t>
      </w:r>
      <w:r w:rsidR="00987DB1" w:rsidRPr="00202AEC">
        <w:t xml:space="preserve"> </w:t>
      </w:r>
      <w:r w:rsidR="00FA01CA" w:rsidRPr="00202AEC">
        <w:t>les trois indices</w:t>
      </w:r>
      <w:r w:rsidR="00987DB1" w:rsidRPr="00202AEC">
        <w:t xml:space="preserve"> comme variables dépendantes</w:t>
      </w:r>
      <w:r w:rsidRPr="00202AEC">
        <w:t xml:space="preserve"> et le Genre du sujet (M/F) comme variable indépendante</w:t>
      </w:r>
      <w:r w:rsidR="00FA01CA" w:rsidRPr="00202AEC">
        <w:t xml:space="preserve">. </w:t>
      </w:r>
      <w:r w:rsidR="00987DB1" w:rsidRPr="00202AEC">
        <w:t>Les résultats montrent</w:t>
      </w:r>
      <w:r w:rsidR="00820CDB" w:rsidRPr="00202AEC">
        <w:t xml:space="preserve"> un </w:t>
      </w:r>
      <w:r w:rsidR="002C30BD" w:rsidRPr="00202AEC">
        <w:t>effet</w:t>
      </w:r>
      <w:r w:rsidR="00C20E2D" w:rsidRPr="00202AEC">
        <w:t xml:space="preserve"> </w:t>
      </w:r>
      <w:r w:rsidR="00820CDB" w:rsidRPr="00202AEC">
        <w:t xml:space="preserve">significatif </w:t>
      </w:r>
      <w:r w:rsidR="002C30BD" w:rsidRPr="00202AEC">
        <w:t xml:space="preserve">du </w:t>
      </w:r>
      <w:r w:rsidR="00B4560B" w:rsidRPr="00202AEC">
        <w:t>g</w:t>
      </w:r>
      <w:r w:rsidR="002C30BD" w:rsidRPr="00202AEC">
        <w:t xml:space="preserve">enre </w:t>
      </w:r>
      <w:r w:rsidR="00820CDB" w:rsidRPr="00202AEC">
        <w:t>sur</w:t>
      </w:r>
      <w:r w:rsidR="002C30BD" w:rsidRPr="00202AEC">
        <w:t xml:space="preserve"> l’indice 1</w:t>
      </w:r>
      <w:r w:rsidR="007D1C01">
        <w:t> :</w:t>
      </w:r>
      <w:r w:rsidR="004F2510" w:rsidRPr="00202AEC">
        <w:t xml:space="preserve"> </w:t>
      </w:r>
      <w:r w:rsidR="004F2510" w:rsidRPr="00202AEC">
        <w:rPr>
          <w:i/>
          <w:iCs/>
        </w:rPr>
        <w:t>F</w:t>
      </w:r>
      <w:r w:rsidR="00271B99" w:rsidRPr="00202AEC">
        <w:t>(1,39)=23.061</w:t>
      </w:r>
      <w:r w:rsidR="007D1C01">
        <w:t xml:space="preserve"> ; </w:t>
      </w:r>
      <w:r w:rsidR="00271B99" w:rsidRPr="00202AEC">
        <w:rPr>
          <w:i/>
          <w:iCs/>
        </w:rPr>
        <w:t>p</w:t>
      </w:r>
      <w:r w:rsidR="00271B99" w:rsidRPr="00202AEC">
        <w:t>&lt;.00</w:t>
      </w:r>
      <w:r w:rsidR="00D50AA1" w:rsidRPr="00202AEC">
        <w:t>1,</w:t>
      </w:r>
      <w:r w:rsidR="002C30BD" w:rsidRPr="00202AEC">
        <w:t xml:space="preserve"> et </w:t>
      </w:r>
      <w:r w:rsidR="00820CDB" w:rsidRPr="00202AEC">
        <w:t>sur l’</w:t>
      </w:r>
      <w:r w:rsidR="002C30BD" w:rsidRPr="00202AEC">
        <w:t>indice 3</w:t>
      </w:r>
      <w:r w:rsidR="00426FD8" w:rsidRPr="00202AEC">
        <w:t> </w:t>
      </w:r>
      <w:r w:rsidR="00342034" w:rsidRPr="00202AEC">
        <w:t xml:space="preserve">: </w:t>
      </w:r>
      <w:r w:rsidR="00342034" w:rsidRPr="00202AEC">
        <w:rPr>
          <w:i/>
          <w:iCs/>
        </w:rPr>
        <w:t>F</w:t>
      </w:r>
      <w:r w:rsidR="00342034" w:rsidRPr="00202AEC">
        <w:t xml:space="preserve">(1,39)=0.298 ; </w:t>
      </w:r>
      <w:r w:rsidR="00342034" w:rsidRPr="00202AEC">
        <w:rPr>
          <w:i/>
          <w:iCs/>
        </w:rPr>
        <w:t>p</w:t>
      </w:r>
      <w:r w:rsidR="00342034" w:rsidRPr="00202AEC">
        <w:t>=.588</w:t>
      </w:r>
      <w:r w:rsidR="002C30BD" w:rsidRPr="00202AEC">
        <w:t xml:space="preserve">. </w:t>
      </w:r>
      <w:r w:rsidR="000361B1" w:rsidRPr="00202AEC">
        <w:t>En revanche, aucun effet du genre n’a été observé sur l’indi</w:t>
      </w:r>
      <w:r w:rsidR="0000541B" w:rsidRPr="00202AEC">
        <w:t>ce 2</w:t>
      </w:r>
      <w:r w:rsidR="00C20E2D" w:rsidRPr="00202AEC">
        <w:t xml:space="preserve">. </w:t>
      </w:r>
      <w:r w:rsidR="00096034" w:rsidRPr="00202AEC">
        <w:t>Ces résultats indiquent que le genre influence significativement la moyenne des distances euclidiennes</w:t>
      </w:r>
      <w:r w:rsidR="00B4560B" w:rsidRPr="00202AEC">
        <w:t xml:space="preserve">, qu’elle soit pondérée (indice 3) ou non </w:t>
      </w:r>
      <w:r w:rsidR="00096034" w:rsidRPr="00202AEC">
        <w:t>(indice</w:t>
      </w:r>
      <w:r w:rsidR="00B4560B" w:rsidRPr="00202AEC">
        <w:t xml:space="preserve"> </w:t>
      </w:r>
      <w:r w:rsidR="00096034" w:rsidRPr="00202AEC">
        <w:t xml:space="preserve">1) </w:t>
      </w:r>
      <w:r w:rsidR="00B4560B" w:rsidRPr="00202AEC">
        <w:t xml:space="preserve">par la distance moyenne aux différentes catégories phonétiques de la langue maternelle du sujet. </w:t>
      </w:r>
      <w:r w:rsidR="002A10C8">
        <w:t>É</w:t>
      </w:r>
      <w:r w:rsidR="00084DE9" w:rsidRPr="00202AEC">
        <w:t xml:space="preserve">tant donné que la voix modèle était masculine, ce résultat était attendu. </w:t>
      </w:r>
      <w:r w:rsidR="00B4560B" w:rsidRPr="00202AEC">
        <w:t xml:space="preserve">En revanche, le genre du sujet n’a pas d’impact sur la variance, </w:t>
      </w:r>
      <w:r w:rsidR="00867FAE" w:rsidRPr="00202AEC">
        <w:t>en</w:t>
      </w:r>
      <w:r w:rsidR="00B4560B" w:rsidRPr="00202AEC">
        <w:t xml:space="preserve"> fonction des cibles, des variances des différentes reproductions d’une même cible</w:t>
      </w:r>
      <w:r w:rsidR="00096034" w:rsidRPr="00202AEC">
        <w:t xml:space="preserve"> (indice </w:t>
      </w:r>
      <w:r w:rsidR="00235720" w:rsidRPr="00202AEC">
        <w:t>2</w:t>
      </w:r>
      <w:r w:rsidR="00096034" w:rsidRPr="00202AEC">
        <w:t>).</w:t>
      </w:r>
      <w:r w:rsidR="00084DE9" w:rsidRPr="00202AEC">
        <w:t xml:space="preserve"> Ceci suggère qu’hommes et femmes ne diffèrent pas fondamentalement dans leur réalisation de la tâche.</w:t>
      </w:r>
    </w:p>
    <w:p w14:paraId="20468E98" w14:textId="319798AB" w:rsidR="00697051" w:rsidRDefault="00867FAE" w:rsidP="007D1C01">
      <w:pPr>
        <w:snapToGrid w:val="0"/>
        <w:spacing w:line="360" w:lineRule="auto"/>
        <w:contextualSpacing/>
        <w:jc w:val="both"/>
      </w:pPr>
      <w:r w:rsidRPr="00202AEC">
        <w:t xml:space="preserve">Les performances comparées </w:t>
      </w:r>
      <w:r w:rsidR="00065DFE" w:rsidRPr="00202AEC">
        <w:t>pour les</w:t>
      </w:r>
      <w:r w:rsidRPr="00202AEC">
        <w:t xml:space="preserve"> trois indices permettent d’investiguer la variabilité interindividuelle à la tâche, telle qu’établie statistiquement dans la section précédente. L</w:t>
      </w:r>
      <w:r w:rsidR="006C2B15" w:rsidRPr="00202AEC">
        <w:t>a</w:t>
      </w:r>
      <w:r w:rsidRPr="00202AEC">
        <w:t xml:space="preserve"> </w:t>
      </w:r>
      <w:r w:rsidR="002766AD" w:rsidRPr="00202AEC">
        <w:t>F</w:t>
      </w:r>
      <w:r w:rsidR="006C2B15" w:rsidRPr="00202AEC">
        <w:t xml:space="preserve">igure </w:t>
      </w:r>
      <w:r w:rsidR="006F0281" w:rsidRPr="00202AEC">
        <w:t xml:space="preserve">6 </w:t>
      </w:r>
      <w:r w:rsidRPr="00202AEC">
        <w:t xml:space="preserve">permet d’illustrer la grande variabilité interindividuelle </w:t>
      </w:r>
      <w:r w:rsidR="00065DFE" w:rsidRPr="00202AEC">
        <w:t>observée au niveau de</w:t>
      </w:r>
      <w:r w:rsidRPr="00202AEC">
        <w:t xml:space="preserve"> la compliance phonique. </w:t>
      </w:r>
      <w:r w:rsidR="00341EDF" w:rsidRPr="00202AEC">
        <w:t xml:space="preserve">Pour ce faire, les valeurs obtenues pour les trois indices ont été </w:t>
      </w:r>
      <w:r w:rsidR="002E4AD9" w:rsidRPr="00202AEC">
        <w:t xml:space="preserve">normalisées </w:t>
      </w:r>
      <w:r w:rsidR="00341EDF" w:rsidRPr="00202AEC">
        <w:t xml:space="preserve">via score z (la moyenne et l’écart-type considérés étant ceux de l’ensemble du groupe des 41 participants), de sorte qu’une valeur de 0 situe l’individu concerné dans la moyenne de celles observées chez les 40 autres participants pour l’indice en question. Notons par ailleurs que pour l’indice 3, c’est l’opposé de la valeur de l’indice qui a été considéré, de </w:t>
      </w:r>
      <w:r w:rsidR="00341EDF" w:rsidRPr="00202AEC">
        <w:lastRenderedPageBreak/>
        <w:t>sorte que pour chacun des trois indices</w:t>
      </w:r>
      <w:r w:rsidR="00187B03">
        <w:t>,</w:t>
      </w:r>
      <w:r w:rsidR="00341EDF" w:rsidRPr="00202AEC">
        <w:t xml:space="preserve"> une faible valeur (sous 0) indique une compliance supérieure à la moyenne du groupe (faible distance cible-reproduction, faible variance des variance</w:t>
      </w:r>
      <w:r w:rsidR="00AE4381">
        <w:t>s</w:t>
      </w:r>
      <w:r w:rsidR="00341EDF" w:rsidRPr="00202AEC">
        <w:t xml:space="preserve">, etc.) et vice versa. Dans la Figure </w:t>
      </w:r>
      <w:r w:rsidR="006F0281" w:rsidRPr="00202AEC">
        <w:t>6</w:t>
      </w:r>
      <w:r w:rsidR="00341EDF" w:rsidRPr="00202AEC">
        <w:t xml:space="preserve">, les scores z ainsi calculés </w:t>
      </w:r>
      <w:r w:rsidR="002E4AD9" w:rsidRPr="00202AEC">
        <w:t xml:space="preserve">pour chacun des trois indices sont additionnés pour chaque participant et </w:t>
      </w:r>
      <w:r w:rsidR="00341EDF" w:rsidRPr="00202AEC">
        <w:t xml:space="preserve">la somme est </w:t>
      </w:r>
      <w:r w:rsidR="002E4AD9" w:rsidRPr="00202AEC">
        <w:t>présenté</w:t>
      </w:r>
      <w:r w:rsidR="00341EDF" w:rsidRPr="00202AEC">
        <w:t>e</w:t>
      </w:r>
      <w:r w:rsidR="002E4AD9" w:rsidRPr="00202AEC">
        <w:t xml:space="preserve"> dans un ordre croissant afin de classer les sujets du plus compliant au moins compliant.</w:t>
      </w:r>
      <w:r w:rsidR="009C103B" w:rsidRPr="00202AEC">
        <w:t xml:space="preserve"> </w:t>
      </w:r>
      <w:r w:rsidR="002E4AD9" w:rsidRPr="00202AEC">
        <w:t xml:space="preserve"> </w:t>
      </w:r>
    </w:p>
    <w:p w14:paraId="1DF09BAA" w14:textId="77777777" w:rsidR="007D1C01" w:rsidRDefault="007D1C01" w:rsidP="007D1C01">
      <w:pPr>
        <w:snapToGrid w:val="0"/>
        <w:spacing w:line="360" w:lineRule="auto"/>
        <w:contextualSpacing/>
        <w:jc w:val="both"/>
      </w:pPr>
    </w:p>
    <w:p w14:paraId="7DBA0310" w14:textId="1EEE128C" w:rsidR="00CF4D0D" w:rsidRPr="00365E90" w:rsidRDefault="00EC5B31" w:rsidP="00350BD5">
      <w:pPr>
        <w:snapToGrid w:val="0"/>
        <w:spacing w:line="360" w:lineRule="auto"/>
        <w:contextualSpacing/>
        <w:jc w:val="center"/>
        <w:rPr>
          <w:b/>
          <w:bCs/>
          <w:color w:val="111111"/>
          <w:sz w:val="20"/>
          <w:szCs w:val="20"/>
        </w:rPr>
      </w:pPr>
      <w:r w:rsidRPr="00B07508">
        <w:rPr>
          <w:b/>
          <w:bCs/>
          <w:color w:val="111111"/>
          <w:sz w:val="20"/>
          <w:szCs w:val="20"/>
        </w:rPr>
        <w:t>Figure 6. Classement des sujets par ordre croissant de compliance phonique : addition des valeurs (scores z) obtenues pour les indices 1 (en bleu), 2 (en rouge) et 3 (en vert)</w:t>
      </w:r>
    </w:p>
    <w:p w14:paraId="2B5B4550" w14:textId="79E52C33" w:rsidR="005F1F19" w:rsidRPr="00202AEC" w:rsidRDefault="008848FF" w:rsidP="00CF4D0D">
      <w:pPr>
        <w:snapToGrid w:val="0"/>
        <w:spacing w:line="360" w:lineRule="auto"/>
        <w:ind w:firstLine="284"/>
        <w:contextualSpacing/>
        <w:jc w:val="center"/>
        <w:rPr>
          <w:color w:val="111111"/>
          <w:sz w:val="20"/>
          <w:szCs w:val="20"/>
        </w:rPr>
      </w:pPr>
      <w:r>
        <w:rPr>
          <w:noProof/>
        </w:rPr>
        <w:drawing>
          <wp:inline distT="0" distB="0" distL="0" distR="0" wp14:anchorId="3FFD0AAF" wp14:editId="30AF8603">
            <wp:extent cx="5727700" cy="2517775"/>
            <wp:effectExtent l="0" t="0" r="0" b="0"/>
            <wp:docPr id="1" name="Image 1" descr="Une image contenant diagramme, Tracé, lig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diagramme, Tracé, ligne, capture d’écran&#10;&#10;Description générée automatiqueme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2517775"/>
                    </a:xfrm>
                    <a:prstGeom prst="rect">
                      <a:avLst/>
                    </a:prstGeom>
                  </pic:spPr>
                </pic:pic>
              </a:graphicData>
            </a:graphic>
          </wp:inline>
        </w:drawing>
      </w:r>
    </w:p>
    <w:p w14:paraId="34B0FFB4" w14:textId="77777777" w:rsidR="00C01BAB" w:rsidRPr="00C01BAB" w:rsidRDefault="00C01BAB" w:rsidP="00D463C5">
      <w:pPr>
        <w:spacing w:line="360" w:lineRule="auto"/>
        <w:contextualSpacing/>
        <w:jc w:val="both"/>
      </w:pPr>
      <w:r w:rsidRPr="00C01BAB">
        <w:t>Afin de rendre compte de la variabilité interindividuelle observée dans la tâche de compliance phonique, nous avons retenu un principe de regroupement des sujets fondé sur la somme des scores z obtenus pour les trois indices. Ce score composite permet d’intégrer de manière synthétique les différentes dimensions de la performance, tout en offrant une base objectivable pour comparer les individus.</w:t>
      </w:r>
    </w:p>
    <w:p w14:paraId="054E7E07" w14:textId="77777777" w:rsidR="00C01BAB" w:rsidRPr="00355257" w:rsidRDefault="00C01BAB" w:rsidP="00D463C5">
      <w:pPr>
        <w:spacing w:line="360" w:lineRule="auto"/>
        <w:contextualSpacing/>
        <w:jc w:val="both"/>
      </w:pPr>
      <w:r w:rsidRPr="008848FF">
        <w:t>Il convient de souligner que ce regroupement ne vise pas à établir des catégories homogènes du point de vue de ch</w:t>
      </w:r>
      <w:r w:rsidRPr="00127037">
        <w:t>acun des indices pris isolément. En effet, certains participants présentent des valeurs contrastées selon les métriques considérées, avec des performances élevées sur une dimension mais plus modérées sur d’autres. Le score composite rend ainsi compte d’une tendance globale, résultant de la combinaison des trois indices, plutôt que d’un alignement systématique des performances sur chacune des dimensions.</w:t>
      </w:r>
    </w:p>
    <w:p w14:paraId="2F4579A8" w14:textId="77777777" w:rsidR="00C01BAB" w:rsidRPr="00596C18" w:rsidRDefault="00C01BAB" w:rsidP="00D463C5">
      <w:pPr>
        <w:spacing w:line="360" w:lineRule="auto"/>
        <w:contextualSpacing/>
        <w:jc w:val="both"/>
      </w:pPr>
      <w:r w:rsidRPr="00355257">
        <w:t>La distribution des scores observés met en évidence une structuration des performances au sein de l’échan</w:t>
      </w:r>
      <w:r w:rsidRPr="00596C18">
        <w:t xml:space="preserve">tillon. En particulier, elle permet de distinguer deux grands ensembles d’individus, selon que leur score composite se situe globalement en deçà ou au-delà de la moyenne du groupe. Les participants présentant des scores négatifs peuvent être considérés comme globalement plus performants dans la tâche de compliance phonique, tandis que les scores </w:t>
      </w:r>
      <w:r w:rsidRPr="00596C18">
        <w:lastRenderedPageBreak/>
        <w:t>positifs traduisent des performances globalement plus faibles. Ce découpage repose sur un critère directement dérivé des données et ne présuppose pas l’existence de catégories discrètes.</w:t>
      </w:r>
    </w:p>
    <w:p w14:paraId="1758F4D4" w14:textId="77777777" w:rsidR="00C01BAB" w:rsidRPr="00596C18" w:rsidRDefault="00C01BAB" w:rsidP="00D463C5">
      <w:pPr>
        <w:spacing w:line="360" w:lineRule="auto"/>
        <w:contextualSpacing/>
        <w:jc w:val="both"/>
      </w:pPr>
      <w:r w:rsidRPr="00596C18">
        <w:t>Au-delà de cette opposition générale, la zone intermédiaire regroupe des individus dont les performances apparaissent plus hétérogènes. Certains d’entre eux présentent, par exemple, des résultats contrastés selon les indices, suggérant des modes de traitement différenciés (par exemple une bonne stabilité intra-catégorielle associée à une précision articulatoire plus limitée, ou inversement). Toutefois, l’analyse de ces configurations demeure à ce stade exploratoire.</w:t>
      </w:r>
    </w:p>
    <w:p w14:paraId="4AB537D7" w14:textId="77777777" w:rsidR="00C01BAB" w:rsidRPr="00BE1CD3" w:rsidRDefault="00C01BAB" w:rsidP="00D463C5">
      <w:pPr>
        <w:spacing w:line="360" w:lineRule="auto"/>
        <w:contextualSpacing/>
        <w:jc w:val="both"/>
      </w:pPr>
      <w:r w:rsidRPr="00596C18">
        <w:t>L’identification de regroupements plus fins, fondés sur la combinaison spécifique des différentes dimensions de la performance, nécessiterait en effet un effectif plus important, permettant d’examiner de manière robuste les variations intra- et interindividuelles. Dans cette perspective, l’établissement de profils fonctionnels distincts, entendus comme des modes diff</w:t>
      </w:r>
      <w:r w:rsidRPr="00BE1CD3">
        <w:t>érenciés de traitement phonétique, constitue une piste de recherche à approfondir dans des travaux ultérieurs.</w:t>
      </w:r>
    </w:p>
    <w:p w14:paraId="6E1003C4" w14:textId="018CF269" w:rsidR="00BE1CD3" w:rsidRPr="003F4895" w:rsidRDefault="00F65F63" w:rsidP="00D463C5">
      <w:pPr>
        <w:spacing w:line="360" w:lineRule="auto"/>
        <w:contextualSpacing/>
        <w:jc w:val="both"/>
      </w:pPr>
      <w:r w:rsidRPr="003F4895">
        <w:t xml:space="preserve">Cette </w:t>
      </w:r>
      <w:r w:rsidR="00687335" w:rsidRPr="003F4895">
        <w:t>variabilité interindividuelle</w:t>
      </w:r>
      <w:r w:rsidRPr="003F4895">
        <w:t xml:space="preserve"> peut être </w:t>
      </w:r>
      <w:r w:rsidR="00274AF8" w:rsidRPr="003F4895">
        <w:t>illustrée</w:t>
      </w:r>
      <w:r w:rsidRPr="003F4895">
        <w:t xml:space="preserve"> </w:t>
      </w:r>
      <w:r w:rsidR="00687335" w:rsidRPr="003F4895">
        <w:t>à partir de</w:t>
      </w:r>
      <w:r w:rsidRPr="003F4895">
        <w:t xml:space="preserve"> représentations visuelles des valeurs formantiques</w:t>
      </w:r>
      <w:r w:rsidR="00274AF8" w:rsidRPr="003F4895">
        <w:t>,</w:t>
      </w:r>
      <w:r w:rsidRPr="003F4895">
        <w:t xml:space="preserve"> sous la forme de triangles vocaliques (Figure </w:t>
      </w:r>
      <w:r w:rsidR="006F0281" w:rsidRPr="003F4895">
        <w:t>7</w:t>
      </w:r>
      <w:r w:rsidRPr="003F4895">
        <w:t xml:space="preserve">). Ces </w:t>
      </w:r>
      <w:r w:rsidR="00274AF8" w:rsidRPr="003F4895">
        <w:t>graphiques</w:t>
      </w:r>
      <w:r w:rsidRPr="003F4895">
        <w:t xml:space="preserve"> </w:t>
      </w:r>
      <w:r w:rsidR="00B70EBA" w:rsidRPr="003F4895">
        <w:t>montrent</w:t>
      </w:r>
      <w:r w:rsidRPr="003F4895">
        <w:t xml:space="preserve"> les productions vocaliques </w:t>
      </w:r>
      <w:r w:rsidR="00687335" w:rsidRPr="003F4895">
        <w:t>de plusieurs sujets</w:t>
      </w:r>
      <w:r w:rsidRPr="003F4895">
        <w:t xml:space="preserve"> sur le plan F1-F2, </w:t>
      </w:r>
      <w:r w:rsidR="00B70EBA" w:rsidRPr="003F4895">
        <w:t xml:space="preserve">en </w:t>
      </w:r>
      <w:r w:rsidRPr="003F4895">
        <w:t>incluant à la fois les voyelles produites dans le cadre de la tâche de répétition des voyelles synthétiques</w:t>
      </w:r>
      <w:r w:rsidR="00B70EBA" w:rsidRPr="003F4895">
        <w:t>,</w:t>
      </w:r>
      <w:r w:rsidR="00BB4ED9" w:rsidRPr="003F4895">
        <w:t xml:space="preserve"> et celles réalisées dans leur langue maternelle. Les premières sont représentées par des croix noires, tandis que les secondes apparaissent sous forme de cercles rouges, </w:t>
      </w:r>
      <w:r w:rsidR="00B70EBA" w:rsidRPr="003F4895">
        <w:t>correspondant aux</w:t>
      </w:r>
      <w:r w:rsidR="004C19BC" w:rsidRPr="003F4895">
        <w:t xml:space="preserve"> </w:t>
      </w:r>
      <w:r w:rsidR="00B70EBA" w:rsidRPr="003F4895">
        <w:t>cinq</w:t>
      </w:r>
      <w:r w:rsidR="00BB4ED9" w:rsidRPr="003F4895">
        <w:t xml:space="preserve"> </w:t>
      </w:r>
      <w:r w:rsidR="00BB4ED9" w:rsidRPr="00385539">
        <w:t xml:space="preserve">productions </w:t>
      </w:r>
      <w:r w:rsidR="004C19BC" w:rsidRPr="00C473D4">
        <w:t xml:space="preserve">de chaque catégorie </w:t>
      </w:r>
      <w:r w:rsidR="00BB4ED9" w:rsidRPr="00127037">
        <w:t>vocalique en L</w:t>
      </w:r>
      <w:r w:rsidR="004C19BC" w:rsidRPr="00127037">
        <w:t xml:space="preserve">1 </w:t>
      </w:r>
      <w:r w:rsidR="00BB4ED9" w:rsidRPr="00127037">
        <w:t>enregistrées lors de l</w:t>
      </w:r>
      <w:r w:rsidR="00BB4ED9" w:rsidRPr="00355257">
        <w:t xml:space="preserve">a </w:t>
      </w:r>
      <w:r w:rsidR="005752B0" w:rsidRPr="00355257">
        <w:t>première phase du protocole</w:t>
      </w:r>
      <w:r w:rsidR="00BB4ED9" w:rsidRPr="00355257">
        <w:t xml:space="preserve">. </w:t>
      </w:r>
      <w:r w:rsidR="00BE1CD3" w:rsidRPr="003F4895">
        <w:t>Les sujets présentés ont été sélectionnés de manière à illustrer différentes positions sur le continuum de performance observé, allant de configurations caractérisées par une forte proximité aux cibles à des configurations marquées par des écarts plus importants.</w:t>
      </w:r>
    </w:p>
    <w:p w14:paraId="1BE24106" w14:textId="10A0CCE4" w:rsidR="005E7609" w:rsidRDefault="005E7609" w:rsidP="00BE1CD3">
      <w:pPr>
        <w:snapToGrid w:val="0"/>
        <w:spacing w:line="360" w:lineRule="auto"/>
        <w:contextualSpacing/>
        <w:jc w:val="both"/>
        <w:rPr>
          <w:color w:val="111111"/>
          <w:sz w:val="20"/>
          <w:szCs w:val="20"/>
        </w:rPr>
      </w:pPr>
    </w:p>
    <w:p w14:paraId="03E0F7E9" w14:textId="7654A5D1" w:rsidR="00EC5B31" w:rsidRDefault="00EC5B31" w:rsidP="00EC5B31">
      <w:pPr>
        <w:snapToGrid w:val="0"/>
        <w:spacing w:line="360" w:lineRule="auto"/>
        <w:ind w:firstLine="284"/>
        <w:contextualSpacing/>
        <w:jc w:val="center"/>
        <w:rPr>
          <w:b/>
          <w:bCs/>
          <w:color w:val="111111"/>
          <w:sz w:val="20"/>
          <w:szCs w:val="20"/>
        </w:rPr>
      </w:pPr>
      <w:r w:rsidRPr="00B07508">
        <w:rPr>
          <w:b/>
          <w:bCs/>
          <w:color w:val="111111"/>
          <w:sz w:val="20"/>
          <w:szCs w:val="20"/>
        </w:rPr>
        <w:t xml:space="preserve">Figure 7. </w:t>
      </w:r>
      <w:r w:rsidR="00596C18">
        <w:rPr>
          <w:b/>
          <w:bCs/>
          <w:color w:val="111111"/>
          <w:sz w:val="20"/>
          <w:szCs w:val="20"/>
        </w:rPr>
        <w:t>Représentation des productions vocaliques de quatre sujets s</w:t>
      </w:r>
      <w:r w:rsidRPr="00B07508">
        <w:rPr>
          <w:b/>
          <w:bCs/>
          <w:color w:val="111111"/>
          <w:sz w:val="20"/>
          <w:szCs w:val="20"/>
        </w:rPr>
        <w:t>ur le plan F1-F2 (en Hertz)</w:t>
      </w:r>
      <w:r w:rsidR="008848FF">
        <w:rPr>
          <w:b/>
          <w:bCs/>
          <w:color w:val="111111"/>
          <w:sz w:val="20"/>
          <w:szCs w:val="20"/>
        </w:rPr>
        <w:t xml:space="preserve">. </w:t>
      </w:r>
      <w:r w:rsidRPr="00B07508">
        <w:rPr>
          <w:b/>
          <w:bCs/>
          <w:color w:val="111111"/>
          <w:sz w:val="20"/>
          <w:szCs w:val="20"/>
        </w:rPr>
        <w:t>Les croix noires indiquent les reproductions des voyelles synthétiques ; les cercles rouges, les voyelles produites en L1 (espagnol).</w:t>
      </w:r>
      <w:r w:rsidR="00687335">
        <w:rPr>
          <w:b/>
          <w:bCs/>
          <w:color w:val="111111"/>
          <w:sz w:val="20"/>
          <w:szCs w:val="20"/>
        </w:rPr>
        <w:t xml:space="preserve"> Les sujets ont été sélectionnés de manière à illustrer différentes configurations de performance observées dans les données</w:t>
      </w:r>
      <w:r w:rsidR="007A04EF">
        <w:rPr>
          <w:b/>
          <w:bCs/>
          <w:color w:val="111111"/>
          <w:sz w:val="20"/>
          <w:szCs w:val="20"/>
        </w:rPr>
        <w:t xml:space="preserve">, correspondant à des positions contrastées sur un continuum </w:t>
      </w:r>
      <w:r w:rsidR="00591AF9">
        <w:rPr>
          <w:b/>
          <w:bCs/>
          <w:color w:val="111111"/>
          <w:sz w:val="20"/>
          <w:szCs w:val="20"/>
        </w:rPr>
        <w:t>de</w:t>
      </w:r>
      <w:r w:rsidR="007A04EF">
        <w:rPr>
          <w:b/>
          <w:bCs/>
          <w:color w:val="111111"/>
          <w:sz w:val="20"/>
          <w:szCs w:val="20"/>
        </w:rPr>
        <w:t xml:space="preserve"> performance</w:t>
      </w:r>
      <w:r w:rsidR="00591AF9">
        <w:rPr>
          <w:b/>
          <w:bCs/>
          <w:color w:val="111111"/>
          <w:sz w:val="20"/>
          <w:szCs w:val="20"/>
        </w:rPr>
        <w:t xml:space="preserve"> (allant de </w:t>
      </w:r>
      <w:r w:rsidR="00746849">
        <w:rPr>
          <w:b/>
          <w:bCs/>
          <w:color w:val="111111"/>
          <w:sz w:val="20"/>
          <w:szCs w:val="20"/>
        </w:rPr>
        <w:t>niveaux de compliance très élevés à très faibles</w:t>
      </w:r>
      <w:r w:rsidR="00591AF9">
        <w:rPr>
          <w:b/>
          <w:bCs/>
          <w:color w:val="111111"/>
          <w:sz w:val="20"/>
          <w:szCs w:val="20"/>
        </w:rPr>
        <w:t xml:space="preserve">) </w:t>
      </w:r>
      <w:r w:rsidR="007A04EF">
        <w:rPr>
          <w:b/>
          <w:bCs/>
          <w:color w:val="111111"/>
          <w:sz w:val="20"/>
          <w:szCs w:val="20"/>
        </w:rPr>
        <w:t xml:space="preserve"> </w:t>
      </w:r>
    </w:p>
    <w:p w14:paraId="03D5C0DB" w14:textId="06518D3F" w:rsidR="00350BD5" w:rsidRPr="00B07508" w:rsidRDefault="00385539" w:rsidP="00EC5B31">
      <w:pPr>
        <w:snapToGrid w:val="0"/>
        <w:spacing w:line="360" w:lineRule="auto"/>
        <w:ind w:firstLine="284"/>
        <w:contextualSpacing/>
        <w:jc w:val="center"/>
        <w:rPr>
          <w:b/>
          <w:bCs/>
          <w:color w:val="111111"/>
          <w:sz w:val="20"/>
          <w:szCs w:val="20"/>
        </w:rPr>
      </w:pPr>
      <w:r>
        <w:rPr>
          <w:b/>
          <w:bCs/>
          <w:noProof/>
          <w:color w:val="111111"/>
          <w:sz w:val="20"/>
          <w:szCs w:val="20"/>
        </w:rPr>
        <w:lastRenderedPageBreak/>
        <w:drawing>
          <wp:inline distT="0" distB="0" distL="0" distR="0" wp14:anchorId="01A45EF1" wp14:editId="5C3D562D">
            <wp:extent cx="5727700" cy="3953510"/>
            <wp:effectExtent l="0" t="0" r="0" b="0"/>
            <wp:docPr id="2" name="Image 2" descr="Une image contenant texte, carte, diagramm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arte, diagramme, capture d’écran&#10;&#10;Description générée automatiqueme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3953510"/>
                    </a:xfrm>
                    <a:prstGeom prst="rect">
                      <a:avLst/>
                    </a:prstGeom>
                  </pic:spPr>
                </pic:pic>
              </a:graphicData>
            </a:graphic>
          </wp:inline>
        </w:drawing>
      </w:r>
    </w:p>
    <w:p w14:paraId="1C0BF236" w14:textId="5CAD11DC" w:rsidR="00697051" w:rsidRPr="00202AEC" w:rsidRDefault="00697051" w:rsidP="00B420EF">
      <w:pPr>
        <w:snapToGrid w:val="0"/>
        <w:spacing w:line="360" w:lineRule="auto"/>
        <w:ind w:firstLine="284"/>
        <w:contextualSpacing/>
        <w:jc w:val="center"/>
        <w:rPr>
          <w:color w:val="111111"/>
          <w:sz w:val="20"/>
          <w:szCs w:val="20"/>
        </w:rPr>
      </w:pPr>
    </w:p>
    <w:p w14:paraId="3B2A28B5" w14:textId="77777777" w:rsidR="00522B24" w:rsidRPr="00202AEC" w:rsidRDefault="00522B24" w:rsidP="00DF24FC">
      <w:pPr>
        <w:snapToGrid w:val="0"/>
        <w:spacing w:line="360" w:lineRule="auto"/>
        <w:ind w:firstLine="284"/>
        <w:contextualSpacing/>
        <w:jc w:val="center"/>
        <w:rPr>
          <w:color w:val="111111"/>
          <w:sz w:val="20"/>
          <w:szCs w:val="20"/>
        </w:rPr>
      </w:pPr>
    </w:p>
    <w:p w14:paraId="1EC2B3DF" w14:textId="77777777" w:rsidR="00B514F7" w:rsidRPr="00202AEC" w:rsidRDefault="00B514F7" w:rsidP="00DF24FC">
      <w:pPr>
        <w:snapToGrid w:val="0"/>
        <w:spacing w:line="360" w:lineRule="auto"/>
        <w:ind w:firstLine="284"/>
        <w:contextualSpacing/>
        <w:jc w:val="center"/>
        <w:rPr>
          <w:color w:val="111111"/>
          <w:sz w:val="20"/>
          <w:szCs w:val="20"/>
        </w:rPr>
      </w:pPr>
    </w:p>
    <w:p w14:paraId="526C1655" w14:textId="5FE9A1A3" w:rsidR="005522CE" w:rsidRPr="00A51245" w:rsidRDefault="00F36923" w:rsidP="005522CE">
      <w:pPr>
        <w:pStyle w:val="Paragraphedeliste"/>
        <w:numPr>
          <w:ilvl w:val="0"/>
          <w:numId w:val="1"/>
        </w:numPr>
        <w:snapToGrid w:val="0"/>
        <w:spacing w:line="360" w:lineRule="auto"/>
        <w:ind w:left="0" w:firstLine="426"/>
        <w:jc w:val="both"/>
        <w:rPr>
          <w:b/>
          <w:bCs/>
        </w:rPr>
      </w:pPr>
      <w:r w:rsidRPr="00202AEC">
        <w:rPr>
          <w:b/>
          <w:bCs/>
        </w:rPr>
        <w:t>Discussion</w:t>
      </w:r>
    </w:p>
    <w:p w14:paraId="2AE284FE" w14:textId="2120796F" w:rsidR="00CF422F" w:rsidRPr="00202AEC" w:rsidRDefault="00D87248" w:rsidP="00CF422F">
      <w:pPr>
        <w:snapToGrid w:val="0"/>
        <w:spacing w:line="360" w:lineRule="auto"/>
        <w:contextualSpacing/>
        <w:jc w:val="both"/>
      </w:pPr>
      <w:r w:rsidRPr="00202AEC">
        <w:t>L'objectif de cette étude était d'explorer la variabilité interindividuelle dans la capacité d</w:t>
      </w:r>
      <w:r w:rsidR="00443C5B">
        <w:t>’</w:t>
      </w:r>
      <w:r w:rsidRPr="00202AEC">
        <w:t xml:space="preserve">apprenants hispanophones à reproduire </w:t>
      </w:r>
      <w:r w:rsidR="00B70EBA">
        <w:t>cinq</w:t>
      </w:r>
      <w:r w:rsidRPr="00202AEC">
        <w:t xml:space="preserve"> blocs (répétitions) de 94 voyelles synthétiques non familières, </w:t>
      </w:r>
      <w:r w:rsidR="00B70EBA">
        <w:t>à l’aide du</w:t>
      </w:r>
      <w:r w:rsidRPr="00202AEC">
        <w:t xml:space="preserve"> dispositif de compliance phonique développé par Delvaux et al. (2014). Pour ce faire, nous avons étudié un échantillon de 41 sujets, homogène en termes d'âge et de caractéristiques linguistiques, afin de comparer </w:t>
      </w:r>
      <w:r w:rsidR="00443C5B">
        <w:t>leurs productions</w:t>
      </w:r>
      <w:r w:rsidRPr="00202AEC">
        <w:t xml:space="preserve">, de décrire et d’analyser avec précision la répartition de leurs performances en compliance phonique, tout en identifiant les différences individuelles dans l’approche de la tâche et les stratégies adoptées pour la réaliser. </w:t>
      </w:r>
    </w:p>
    <w:p w14:paraId="143DACC2" w14:textId="76BBEF1C" w:rsidR="00C36CEA" w:rsidRDefault="00443C5B" w:rsidP="005612D5">
      <w:pPr>
        <w:snapToGrid w:val="0"/>
        <w:spacing w:line="360" w:lineRule="auto"/>
        <w:contextualSpacing/>
        <w:jc w:val="both"/>
      </w:pPr>
      <w:r>
        <w:t>Dans un premier temps</w:t>
      </w:r>
      <w:r w:rsidR="00CF422F" w:rsidRPr="00202AEC">
        <w:t xml:space="preserve">, on constate que les sujets sont globalement plutôt performants </w:t>
      </w:r>
      <w:r w:rsidR="00F17B5B" w:rsidRPr="00202AEC">
        <w:t>dans l</w:t>
      </w:r>
      <w:r>
        <w:t>a</w:t>
      </w:r>
      <w:r w:rsidR="00F17B5B" w:rsidRPr="00202AEC">
        <w:t xml:space="preserve"> réalisation de</w:t>
      </w:r>
      <w:r w:rsidR="00CF422F" w:rsidRPr="00202AEC">
        <w:t xml:space="preserve"> la tâche. En tant que groupe, les locuteurs </w:t>
      </w:r>
      <w:r w:rsidR="0071095E">
        <w:t>se situent à une distance moyenne</w:t>
      </w:r>
      <w:r w:rsidR="00CF422F" w:rsidRPr="00202AEC">
        <w:t xml:space="preserve"> </w:t>
      </w:r>
      <w:r w:rsidR="003F1295" w:rsidRPr="00202AEC">
        <w:t>de</w:t>
      </w:r>
      <w:r w:rsidR="00CF422F" w:rsidRPr="00202AEC">
        <w:t xml:space="preserve"> </w:t>
      </w:r>
      <w:r w:rsidR="00586F1B">
        <w:t>171.5</w:t>
      </w:r>
      <w:r w:rsidR="00CF422F" w:rsidRPr="00202AEC">
        <w:t xml:space="preserve"> Hz </w:t>
      </w:r>
      <w:r w:rsidR="0071095E">
        <w:t xml:space="preserve">des cibles vocaliques </w:t>
      </w:r>
      <w:r w:rsidR="00CF422F" w:rsidRPr="00202AEC">
        <w:t xml:space="preserve">dans l’espace </w:t>
      </w:r>
      <w:r w:rsidR="0071095E">
        <w:t>tri-formantique</w:t>
      </w:r>
      <w:r w:rsidR="00CF422F" w:rsidRPr="00202AEC">
        <w:t xml:space="preserve">, ce qui est inférieur à la distance </w:t>
      </w:r>
      <w:r w:rsidR="003F1295" w:rsidRPr="00202AEC">
        <w:t xml:space="preserve">acoustique </w:t>
      </w:r>
      <w:r w:rsidR="00CF422F" w:rsidRPr="00202AEC">
        <w:t xml:space="preserve">moyenne </w:t>
      </w:r>
      <w:r w:rsidR="0071095E">
        <w:t>entre deux</w:t>
      </w:r>
      <w:r w:rsidR="00CF422F" w:rsidRPr="00202AEC">
        <w:t xml:space="preserve"> voyelles de l’espagnol différant d’un </w:t>
      </w:r>
      <w:r w:rsidR="0071095E">
        <w:t xml:space="preserve">seul </w:t>
      </w:r>
      <w:r w:rsidR="00CF422F" w:rsidRPr="00202AEC">
        <w:t>trait phonologique (</w:t>
      </w:r>
      <w:r w:rsidR="0071095E">
        <w:t>par exemple,</w:t>
      </w:r>
      <w:r w:rsidR="00CF422F" w:rsidRPr="00202AEC">
        <w:t xml:space="preserve"> </w:t>
      </w:r>
      <w:r w:rsidR="00F17B5B" w:rsidRPr="00202AEC">
        <w:t xml:space="preserve">les réalisations typiques de </w:t>
      </w:r>
      <w:r w:rsidR="00CF422F" w:rsidRPr="00202AEC">
        <w:t>/i/ et /e/</w:t>
      </w:r>
      <w:r w:rsidR="0071095E">
        <w:t>,</w:t>
      </w:r>
      <w:r w:rsidR="00CF422F" w:rsidRPr="00202AEC">
        <w:t xml:space="preserve"> </w:t>
      </w:r>
      <w:r w:rsidR="00F17B5B" w:rsidRPr="00202AEC">
        <w:t>ou encore</w:t>
      </w:r>
      <w:r w:rsidR="00231A3D" w:rsidRPr="00202AEC">
        <w:t xml:space="preserve"> </w:t>
      </w:r>
      <w:r w:rsidR="0071095E">
        <w:t xml:space="preserve">de </w:t>
      </w:r>
      <w:r w:rsidR="00231A3D" w:rsidRPr="00202AEC">
        <w:t>/e/ et /a/</w:t>
      </w:r>
      <w:r w:rsidR="0071095E">
        <w:t xml:space="preserve">, </w:t>
      </w:r>
      <w:r w:rsidR="00C36CEA">
        <w:t>s’écartent généralement</w:t>
      </w:r>
      <w:r w:rsidR="00CF422F" w:rsidRPr="00202AEC">
        <w:t xml:space="preserve"> de 2</w:t>
      </w:r>
      <w:r w:rsidR="00231A3D" w:rsidRPr="00202AEC">
        <w:t>0</w:t>
      </w:r>
      <w:r w:rsidR="00CF422F" w:rsidRPr="00202AEC">
        <w:t xml:space="preserve">0 </w:t>
      </w:r>
      <w:r w:rsidR="00231A3D" w:rsidRPr="00202AEC">
        <w:t xml:space="preserve">à 300 </w:t>
      </w:r>
      <w:r w:rsidR="00CF422F" w:rsidRPr="00202AEC">
        <w:t>Hz en termes de F1</w:t>
      </w:r>
      <w:r w:rsidR="00C36CEA">
        <w:t> :</w:t>
      </w:r>
      <w:r w:rsidR="00231A3D" w:rsidRPr="00202AEC">
        <w:t xml:space="preserve"> Chládková &amp; Escudero, </w:t>
      </w:r>
      <w:r w:rsidR="00231A3D" w:rsidRPr="00490875">
        <w:rPr>
          <w:lang w:val="fr-FR"/>
        </w:rPr>
        <w:t>2012</w:t>
      </w:r>
      <w:r w:rsidR="00CF422F" w:rsidRPr="00202AEC">
        <w:t xml:space="preserve">). </w:t>
      </w:r>
      <w:r w:rsidR="00C36CEA" w:rsidRPr="00C36CEA">
        <w:t xml:space="preserve">L’intérêt du dispositif de compliance phonique réside précisément dans sa capacité à faire émerger, à partir </w:t>
      </w:r>
      <w:r w:rsidR="00C36CEA" w:rsidRPr="00C36CEA">
        <w:lastRenderedPageBreak/>
        <w:t>d’une tâche réalisable par tous, une diversité de performances et de stratégies individuelles riches d’enseignements sur la manière dont les sujets traitent des stimuli phonétiquement non familiers. C’est ce que les analyses qui ont suivi ont permis de documenter</w:t>
      </w:r>
      <w:r w:rsidR="00C36CEA">
        <w:t>.</w:t>
      </w:r>
    </w:p>
    <w:p w14:paraId="44045EF6" w14:textId="5476BF6C" w:rsidR="00F33CF9" w:rsidRDefault="00F33CF9" w:rsidP="005612D5">
      <w:pPr>
        <w:snapToGrid w:val="0"/>
        <w:spacing w:line="360" w:lineRule="auto"/>
        <w:contextualSpacing/>
        <w:jc w:val="both"/>
      </w:pPr>
      <w:r>
        <w:t>C</w:t>
      </w:r>
      <w:r w:rsidR="003F1295" w:rsidRPr="00202AEC">
        <w:t xml:space="preserve">oncernant </w:t>
      </w:r>
      <w:r>
        <w:t xml:space="preserve">d’abord </w:t>
      </w:r>
      <w:r w:rsidR="003F1295" w:rsidRPr="00202AEC">
        <w:t xml:space="preserve">les variables associées au dispositif expérimental lui-même, les résultats révèlent un effet modéré du bloc sur les performances des participants, suggérant que la fatigue ou la lassitude ont eu un impact limité sur la qualité globale des productions. En revanche, une </w:t>
      </w:r>
      <w:r w:rsidR="00D87248" w:rsidRPr="00202AEC">
        <w:t xml:space="preserve">influence majeure de la voyelle cible est clairement identifiée, </w:t>
      </w:r>
      <w:r w:rsidR="00486BCB" w:rsidRPr="00202AEC">
        <w:t>soulignant</w:t>
      </w:r>
      <w:r w:rsidR="00D87248" w:rsidRPr="00202AEC">
        <w:t xml:space="preserve"> que la nature des voyelles synthétiques joue un rôle </w:t>
      </w:r>
      <w:r>
        <w:t>déterminant</w:t>
      </w:r>
      <w:r w:rsidR="00D87248" w:rsidRPr="00202AEC">
        <w:t xml:space="preserve"> dans la tâche de reproduction</w:t>
      </w:r>
      <w:r>
        <w:t>. Ce résultat</w:t>
      </w:r>
      <w:r w:rsidR="00D87248" w:rsidRPr="00202AEC">
        <w:t xml:space="preserve"> était attendu, </w:t>
      </w:r>
      <w:r>
        <w:t>dans la mesure où</w:t>
      </w:r>
      <w:r w:rsidR="00D87248" w:rsidRPr="00202AEC">
        <w:t xml:space="preserve"> les voyelles acoustiquement proches de celles de la L1 sont généralement reproduites avec plus de précision (</w:t>
      </w:r>
      <w:r w:rsidR="003F1295" w:rsidRPr="00202AEC">
        <w:t>routines phonétiques bien implantées en langue maternelle</w:t>
      </w:r>
      <w:r w:rsidR="00D87248" w:rsidRPr="00202AEC">
        <w:t xml:space="preserve">). Cette observation renforce l’idée </w:t>
      </w:r>
      <w:r w:rsidR="0080448E">
        <w:t xml:space="preserve">selon laquelle </w:t>
      </w:r>
      <w:r w:rsidR="00D87248" w:rsidRPr="00202AEC">
        <w:t>l’apprentissage phonétique en L2 est intrinsèquement lié à la nature des stimuli et à leur proximité avec l</w:t>
      </w:r>
      <w:r w:rsidR="00F17B5B" w:rsidRPr="00202AEC">
        <w:t>a structuration d</w:t>
      </w:r>
      <w:r w:rsidR="00D87248" w:rsidRPr="00202AEC">
        <w:t>es catégories phonologiques préexistantes de la langue maternelle</w:t>
      </w:r>
      <w:r w:rsidR="0080448E">
        <w:t>. Elle corrobore ainsi les travaux antérieurs</w:t>
      </w:r>
      <w:r w:rsidR="00595DA2" w:rsidRPr="00202AEC">
        <w:t xml:space="preserve"> sur l</w:t>
      </w:r>
      <w:r w:rsidR="0080448E">
        <w:t>e phénomène d’</w:t>
      </w:r>
      <w:r w:rsidR="00595DA2" w:rsidRPr="00202AEC">
        <w:t>aimantation perceptuelle</w:t>
      </w:r>
      <w:r w:rsidR="0080448E">
        <w:t xml:space="preserve"> </w:t>
      </w:r>
      <w:r w:rsidR="00595DA2" w:rsidRPr="00202AEC">
        <w:t>(Kuhl, 1991)</w:t>
      </w:r>
      <w:r w:rsidR="00D87248" w:rsidRPr="00202AEC">
        <w:t>.</w:t>
      </w:r>
      <w:r w:rsidR="0080448E">
        <w:t xml:space="preserve"> </w:t>
      </w:r>
      <w:r w:rsidR="00595DA2" w:rsidRPr="00202AEC">
        <w:t>Cependant, c</w:t>
      </w:r>
      <w:r w:rsidR="00D87248" w:rsidRPr="00202AEC">
        <w:t xml:space="preserve">ette influence des stimuli sur les performances met en lumière non seulement </w:t>
      </w:r>
      <w:r w:rsidR="0080448E">
        <w:t>le rôle structurant</w:t>
      </w:r>
      <w:r w:rsidR="00D87248" w:rsidRPr="00202AEC">
        <w:t xml:space="preserve"> de la L1, mais</w:t>
      </w:r>
      <w:r w:rsidR="00595DA2" w:rsidRPr="00202AEC">
        <w:t xml:space="preserve"> également</w:t>
      </w:r>
      <w:r w:rsidR="0080448E">
        <w:t xml:space="preserve"> </w:t>
      </w:r>
      <w:r w:rsidR="00595DA2" w:rsidRPr="00202AEC">
        <w:t xml:space="preserve">l’importance de </w:t>
      </w:r>
      <w:r w:rsidR="00D87248" w:rsidRPr="00202AEC">
        <w:t xml:space="preserve">la capacité des locuteurs à s’en affranchir. En effet, les analyses montrent que la compliance phonique, </w:t>
      </w:r>
      <w:r w:rsidR="00ED0CE2">
        <w:t>envisagée comme une aptitude</w:t>
      </w:r>
      <w:r w:rsidR="00D87248" w:rsidRPr="00202AEC">
        <w:t xml:space="preserve">, </w:t>
      </w:r>
      <w:r w:rsidR="00DB68DE" w:rsidRPr="00DB68DE">
        <w:t>ne dépend pas uniquement des caractéristiques des stimuli, mais reflète aussi la capacité des locuteurs à s’éloigner des configurations phonétiques propres à leur langue maternelle.</w:t>
      </w:r>
    </w:p>
    <w:p w14:paraId="63237D91" w14:textId="03176611" w:rsidR="005612D5" w:rsidRDefault="00665667" w:rsidP="005612D5">
      <w:pPr>
        <w:snapToGrid w:val="0"/>
        <w:spacing w:line="360" w:lineRule="auto"/>
        <w:contextualSpacing/>
        <w:jc w:val="both"/>
      </w:pPr>
      <w:r>
        <w:t>En ce qui concerne les</w:t>
      </w:r>
      <w:r w:rsidR="00D87248" w:rsidRPr="00202AEC">
        <w:t xml:space="preserve"> </w:t>
      </w:r>
      <w:r w:rsidR="00F17B5B" w:rsidRPr="00202AEC">
        <w:t>variables associées aux locuteurs eux-mêmes</w:t>
      </w:r>
      <w:r w:rsidR="00D87248" w:rsidRPr="00202AEC">
        <w:t xml:space="preserve">, nous avons d'abord examiné l'effet du genre. Les résultats bruts indiquent des performances supérieures </w:t>
      </w:r>
      <w:r>
        <w:t>chez</w:t>
      </w:r>
      <w:r w:rsidR="00D87248" w:rsidRPr="00202AEC">
        <w:t xml:space="preserve"> les hommes, </w:t>
      </w:r>
      <w:r>
        <w:t>vraisemblablement dues</w:t>
      </w:r>
      <w:r w:rsidR="00595DA2" w:rsidRPr="00202AEC">
        <w:t xml:space="preserve"> </w:t>
      </w:r>
      <w:r w:rsidR="00D87248" w:rsidRPr="00202AEC">
        <w:t xml:space="preserve">à la compatibilité </w:t>
      </w:r>
      <w:r>
        <w:t xml:space="preserve">acoustique </w:t>
      </w:r>
      <w:r w:rsidR="00D87248" w:rsidRPr="00202AEC">
        <w:t xml:space="preserve">des stimuli avec une voix masculine. </w:t>
      </w:r>
      <w:r w:rsidR="00595DA2" w:rsidRPr="00202AEC">
        <w:t>D’ailleurs</w:t>
      </w:r>
      <w:r w:rsidR="00D87248" w:rsidRPr="00202AEC">
        <w:t>, après normalisation des données, ces différences n’</w:t>
      </w:r>
      <w:r w:rsidR="00522B24" w:rsidRPr="00202AEC">
        <w:t>apparaissent</w:t>
      </w:r>
      <w:r w:rsidR="00D87248" w:rsidRPr="00202AEC">
        <w:t xml:space="preserve"> plus </w:t>
      </w:r>
      <w:r>
        <w:t xml:space="preserve">comme étant </w:t>
      </w:r>
      <w:r w:rsidR="00D87248" w:rsidRPr="00202AEC">
        <w:t xml:space="preserve">significatives, ce qui </w:t>
      </w:r>
      <w:r>
        <w:t>permet une comparaison plus équitable</w:t>
      </w:r>
      <w:r w:rsidR="00D87248" w:rsidRPr="00202AEC">
        <w:t xml:space="preserve"> entre hommes et</w:t>
      </w:r>
      <w:r>
        <w:t xml:space="preserve"> </w:t>
      </w:r>
      <w:r w:rsidR="00D87248" w:rsidRPr="00202AEC">
        <w:t>femmes</w:t>
      </w:r>
      <w:r>
        <w:t>,</w:t>
      </w:r>
      <w:r w:rsidR="00D87248" w:rsidRPr="00202AEC">
        <w:t xml:space="preserve"> tout </w:t>
      </w:r>
      <w:r>
        <w:t>en mettant en évidence une forte variabilité interindividuelle</w:t>
      </w:r>
      <w:r w:rsidR="00D87248" w:rsidRPr="00202AEC">
        <w:t xml:space="preserve">. Cette </w:t>
      </w:r>
      <w:r w:rsidR="001A512C">
        <w:t xml:space="preserve">étape de </w:t>
      </w:r>
      <w:r w:rsidR="00D87248" w:rsidRPr="00202AEC">
        <w:t xml:space="preserve">normalisation a également </w:t>
      </w:r>
      <w:r w:rsidR="00293D82" w:rsidRPr="00202AEC">
        <w:t xml:space="preserve">contribué à </w:t>
      </w:r>
      <w:r w:rsidR="001A512C">
        <w:t>faire émerger un effet significatif du</w:t>
      </w:r>
      <w:r w:rsidR="000F160D">
        <w:t xml:space="preserve"> </w:t>
      </w:r>
      <w:r w:rsidR="007E3D9A">
        <w:t>facteur « </w:t>
      </w:r>
      <w:r w:rsidR="00616544">
        <w:t>locuteur</w:t>
      </w:r>
      <w:r w:rsidR="007E3D9A">
        <w:t> »</w:t>
      </w:r>
      <w:r w:rsidR="00D87248" w:rsidRPr="00202AEC">
        <w:t xml:space="preserve">. La variabilité significative dans la capacité des sujets à reproduire des voyelles non familières </w:t>
      </w:r>
      <w:r w:rsidR="00FA1785" w:rsidRPr="00202AEC">
        <w:t>démontre</w:t>
      </w:r>
      <w:r w:rsidR="00D87248" w:rsidRPr="00202AEC">
        <w:t xml:space="preserve"> l’importance de prendre en compte les spécificités propres à chaque individu</w:t>
      </w:r>
      <w:r w:rsidR="00F17B5B" w:rsidRPr="00202AEC">
        <w:t xml:space="preserve"> </w:t>
      </w:r>
      <w:r w:rsidR="007E3D9A">
        <w:t>dans</w:t>
      </w:r>
      <w:r w:rsidR="00F17B5B" w:rsidRPr="00202AEC">
        <w:t xml:space="preserve"> l’apprentissage de nouvelles variantes phonétiques.</w:t>
      </w:r>
    </w:p>
    <w:p w14:paraId="04923CDA" w14:textId="5CC45AEA" w:rsidR="00EC4475" w:rsidRPr="00EC4475" w:rsidRDefault="00F17B5B" w:rsidP="00EC4475">
      <w:pPr>
        <w:snapToGrid w:val="0"/>
        <w:spacing w:line="360" w:lineRule="auto"/>
        <w:contextualSpacing/>
        <w:jc w:val="both"/>
        <w:rPr>
          <w:iCs/>
        </w:rPr>
      </w:pPr>
      <w:r w:rsidRPr="00202AEC">
        <w:t>Au-delà des différences de performances proprement dites, c</w:t>
      </w:r>
      <w:r w:rsidR="00D87248" w:rsidRPr="00202AEC">
        <w:t xml:space="preserve">haque locuteur semble mobiliser des </w:t>
      </w:r>
      <w:r w:rsidR="00D87248" w:rsidRPr="007E3D9A">
        <w:t>stratégies</w:t>
      </w:r>
      <w:r w:rsidR="00D87248" w:rsidRPr="00202AEC">
        <w:rPr>
          <w:i/>
          <w:iCs/>
        </w:rPr>
        <w:t xml:space="preserve"> </w:t>
      </w:r>
      <w:r w:rsidR="00D87248" w:rsidRPr="00202AEC">
        <w:t>de production distinctes, influencées par ses caractéristiques intrinsèques</w:t>
      </w:r>
      <w:r w:rsidRPr="00202AEC">
        <w:t>, comme le suggèrent</w:t>
      </w:r>
      <w:r w:rsidR="00D87248" w:rsidRPr="00202AEC">
        <w:t xml:space="preserve"> </w:t>
      </w:r>
      <w:r w:rsidRPr="00202AEC">
        <w:t>l</w:t>
      </w:r>
      <w:r w:rsidR="00D87248" w:rsidRPr="00202AEC">
        <w:t xml:space="preserve">es analyses </w:t>
      </w:r>
      <w:r w:rsidRPr="00202AEC">
        <w:t>basées sur les</w:t>
      </w:r>
      <w:r w:rsidR="00D87248" w:rsidRPr="00202AEC">
        <w:t xml:space="preserve"> trois indices </w:t>
      </w:r>
      <w:r w:rsidRPr="00202AEC">
        <w:t xml:space="preserve">de compliance. Les corrélations entre </w:t>
      </w:r>
      <w:r w:rsidR="0017650C">
        <w:t>ce</w:t>
      </w:r>
      <w:r w:rsidRPr="00202AEC">
        <w:t xml:space="preserve">s indices </w:t>
      </w:r>
      <w:r w:rsidR="0017650C">
        <w:t>mettent</w:t>
      </w:r>
      <w:r w:rsidRPr="00202AEC">
        <w:t xml:space="preserve"> en évidence </w:t>
      </w:r>
      <w:r w:rsidR="0017650C">
        <w:t>à la fois l</w:t>
      </w:r>
      <w:r w:rsidRPr="00202AEC">
        <w:t xml:space="preserve">eurs points communs et leur complémentarité. </w:t>
      </w:r>
      <w:r w:rsidR="0017650C">
        <w:rPr>
          <w:iCs/>
        </w:rPr>
        <w:t>L’</w:t>
      </w:r>
      <w:r w:rsidRPr="00202AEC">
        <w:rPr>
          <w:iCs/>
        </w:rPr>
        <w:t xml:space="preserve">indice 1 </w:t>
      </w:r>
      <w:r w:rsidR="00AE54A6">
        <w:rPr>
          <w:iCs/>
        </w:rPr>
        <w:t>constitue la mesure la plus directement liée à</w:t>
      </w:r>
      <w:r w:rsidRPr="00202AEC">
        <w:rPr>
          <w:iCs/>
        </w:rPr>
        <w:t xml:space="preserve"> la tâche</w:t>
      </w:r>
      <w:r w:rsidR="0017650C">
        <w:rPr>
          <w:iCs/>
        </w:rPr>
        <w:t>, puisqu’il</w:t>
      </w:r>
      <w:r w:rsidRPr="00202AEC">
        <w:rPr>
          <w:iCs/>
        </w:rPr>
        <w:t xml:space="preserve"> </w:t>
      </w:r>
      <w:r w:rsidR="0017650C">
        <w:rPr>
          <w:iCs/>
        </w:rPr>
        <w:t>évalue</w:t>
      </w:r>
      <w:r w:rsidRPr="00202AEC">
        <w:rPr>
          <w:iCs/>
        </w:rPr>
        <w:t xml:space="preserve"> la distance </w:t>
      </w:r>
      <w:r w:rsidR="0017650C">
        <w:rPr>
          <w:iCs/>
        </w:rPr>
        <w:lastRenderedPageBreak/>
        <w:t xml:space="preserve">acoustique </w:t>
      </w:r>
      <w:r w:rsidRPr="00202AEC">
        <w:rPr>
          <w:iCs/>
        </w:rPr>
        <w:t xml:space="preserve">entre </w:t>
      </w:r>
      <w:r w:rsidR="0017650C">
        <w:rPr>
          <w:iCs/>
        </w:rPr>
        <w:t xml:space="preserve">les </w:t>
      </w:r>
      <w:r w:rsidRPr="00202AEC">
        <w:rPr>
          <w:iCs/>
        </w:rPr>
        <w:t>cible</w:t>
      </w:r>
      <w:r w:rsidR="0017650C">
        <w:rPr>
          <w:iCs/>
        </w:rPr>
        <w:t>s</w:t>
      </w:r>
      <w:r w:rsidRPr="00202AEC">
        <w:rPr>
          <w:iCs/>
        </w:rPr>
        <w:t xml:space="preserve"> et </w:t>
      </w:r>
      <w:r w:rsidR="0017650C">
        <w:rPr>
          <w:iCs/>
        </w:rPr>
        <w:t xml:space="preserve">les </w:t>
      </w:r>
      <w:r w:rsidRPr="00202AEC">
        <w:rPr>
          <w:iCs/>
        </w:rPr>
        <w:t xml:space="preserve">reproductions. L’indice 3 permet de nuancer l’information fournie par l’indice 1, en </w:t>
      </w:r>
      <w:r w:rsidR="00AE54A6">
        <w:rPr>
          <w:iCs/>
        </w:rPr>
        <w:t>intégrant la proximité des productions avec les catégories vocaliques natives, permettant ainsi d’apprécier la capacité du locuteur à s’éloigner de ses routines articulatoires. Quant à l’</w:t>
      </w:r>
      <w:r w:rsidRPr="00202AEC">
        <w:rPr>
          <w:iCs/>
        </w:rPr>
        <w:t>indice 2</w:t>
      </w:r>
      <w:r w:rsidR="00AE54A6">
        <w:rPr>
          <w:iCs/>
        </w:rPr>
        <w:t>, il</w:t>
      </w:r>
      <w:r w:rsidRPr="00202AEC">
        <w:rPr>
          <w:iCs/>
        </w:rPr>
        <w:t xml:space="preserve"> </w:t>
      </w:r>
      <w:r w:rsidR="00AE54A6">
        <w:rPr>
          <w:iCs/>
        </w:rPr>
        <w:t>offre</w:t>
      </w:r>
      <w:r w:rsidRPr="00202AEC">
        <w:rPr>
          <w:iCs/>
        </w:rPr>
        <w:t xml:space="preserve"> une perspective </w:t>
      </w:r>
      <w:r w:rsidR="00AE54A6">
        <w:rPr>
          <w:iCs/>
        </w:rPr>
        <w:t>sensiblement</w:t>
      </w:r>
      <w:r w:rsidRPr="00202AEC">
        <w:rPr>
          <w:iCs/>
        </w:rPr>
        <w:t xml:space="preserve"> différente</w:t>
      </w:r>
      <w:r w:rsidR="00AE54A6">
        <w:rPr>
          <w:iCs/>
        </w:rPr>
        <w:t> :</w:t>
      </w:r>
      <w:r w:rsidRPr="00202AEC">
        <w:rPr>
          <w:iCs/>
        </w:rPr>
        <w:t xml:space="preserve"> </w:t>
      </w:r>
      <w:r w:rsidR="00AE54A6">
        <w:rPr>
          <w:iCs/>
        </w:rPr>
        <w:t xml:space="preserve">il mesure </w:t>
      </w:r>
      <w:r w:rsidR="00EC4475">
        <w:rPr>
          <w:iCs/>
        </w:rPr>
        <w:t>la régularité</w:t>
      </w:r>
      <w:r w:rsidRPr="00202AEC">
        <w:rPr>
          <w:iCs/>
        </w:rPr>
        <w:t xml:space="preserve"> des performances à travers </w:t>
      </w:r>
      <w:r w:rsidR="00EC4475">
        <w:rPr>
          <w:iCs/>
        </w:rPr>
        <w:t xml:space="preserve">l’ensemble de </w:t>
      </w:r>
      <w:r w:rsidRPr="00202AEC">
        <w:rPr>
          <w:iCs/>
        </w:rPr>
        <w:t xml:space="preserve">l’espace vocalique. </w:t>
      </w:r>
      <w:r w:rsidR="00EC4475" w:rsidRPr="00EC4475">
        <w:t xml:space="preserve">Ce n’est donc pas tant la précision absolue qui est </w:t>
      </w:r>
      <w:r w:rsidR="0005477C">
        <w:t>évaluée</w:t>
      </w:r>
      <w:r w:rsidR="00EC4475" w:rsidRPr="00EC4475">
        <w:t xml:space="preserve"> ici</w:t>
      </w:r>
      <w:r w:rsidR="0005477C">
        <w:t>, mais plutôt</w:t>
      </w:r>
      <w:r w:rsidR="00EC4475" w:rsidRPr="00EC4475">
        <w:t xml:space="preserve"> la capacité du sujet à maintenir une qualité de production relativement stable, quelle que soit la zone ciblée.</w:t>
      </w:r>
    </w:p>
    <w:p w14:paraId="55AC5DA0" w14:textId="70F8C8C6" w:rsidR="00EC4475" w:rsidRPr="00202AEC" w:rsidRDefault="00F17B5B" w:rsidP="005612D5">
      <w:pPr>
        <w:snapToGrid w:val="0"/>
        <w:spacing w:line="360" w:lineRule="auto"/>
        <w:contextualSpacing/>
        <w:jc w:val="both"/>
      </w:pPr>
      <w:r w:rsidRPr="00202AEC">
        <w:t xml:space="preserve">L’information </w:t>
      </w:r>
      <w:r w:rsidR="0005477C">
        <w:t>résultant de la combinaison</w:t>
      </w:r>
      <w:r w:rsidRPr="00202AEC">
        <w:t xml:space="preserve"> des trois indices (</w:t>
      </w:r>
      <w:r w:rsidR="001F7CFD" w:rsidRPr="00202AEC">
        <w:t xml:space="preserve">efficacité brute </w:t>
      </w:r>
      <w:r w:rsidR="00EC4475">
        <w:t>dans</w:t>
      </w:r>
      <w:r w:rsidR="001F7CFD" w:rsidRPr="00202AEC">
        <w:t xml:space="preserve"> la tâche de reproduction</w:t>
      </w:r>
      <w:r w:rsidR="00D87248" w:rsidRPr="00202AEC">
        <w:t xml:space="preserve">, </w:t>
      </w:r>
      <w:r w:rsidR="001F7CFD" w:rsidRPr="00202AEC">
        <w:t>capacité à adopter un comportement stable</w:t>
      </w:r>
      <w:r w:rsidR="00D87248" w:rsidRPr="00202AEC">
        <w:t xml:space="preserve">, et </w:t>
      </w:r>
      <w:r w:rsidR="00EC4475">
        <w:t>aptitude</w:t>
      </w:r>
      <w:r w:rsidR="00D87248" w:rsidRPr="00202AEC">
        <w:t xml:space="preserve"> à s'éloigner des catégories </w:t>
      </w:r>
      <w:r w:rsidR="001F7CFD" w:rsidRPr="00202AEC">
        <w:t>vocalique</w:t>
      </w:r>
      <w:r w:rsidR="00CA7C1D">
        <w:t>s</w:t>
      </w:r>
      <w:r w:rsidR="001F7CFD" w:rsidRPr="00202AEC">
        <w:t xml:space="preserve"> </w:t>
      </w:r>
      <w:r w:rsidR="00D87248" w:rsidRPr="00202AEC">
        <w:t xml:space="preserve">de la L1) </w:t>
      </w:r>
      <w:r w:rsidRPr="00202AEC">
        <w:t xml:space="preserve">a permis </w:t>
      </w:r>
      <w:r w:rsidR="00A03F23">
        <w:t>de dégager</w:t>
      </w:r>
      <w:r w:rsidR="00D87248" w:rsidRPr="00202AEC">
        <w:t xml:space="preserve"> plusieurs profils </w:t>
      </w:r>
      <w:r w:rsidR="00A03F23">
        <w:t xml:space="preserve">distincts </w:t>
      </w:r>
      <w:r w:rsidR="00D87248" w:rsidRPr="00202AEC">
        <w:t xml:space="preserve">parmi les participants. Certains sujets se </w:t>
      </w:r>
      <w:r w:rsidR="00A03F23">
        <w:t>révèlent</w:t>
      </w:r>
      <w:r w:rsidR="00D87248" w:rsidRPr="00202AEC">
        <w:t xml:space="preserve"> très compliants</w:t>
      </w:r>
      <w:r w:rsidR="00A03F23">
        <w:t xml:space="preserve"> : ils </w:t>
      </w:r>
      <w:r w:rsidR="00D87248" w:rsidRPr="00202AEC">
        <w:t>reproduis</w:t>
      </w:r>
      <w:r w:rsidR="00A03F23">
        <w:t>e</w:t>
      </w:r>
      <w:r w:rsidR="00D87248" w:rsidRPr="00202AEC">
        <w:t>nt fidèlement les stimuli tout en explorant des zones inconnues de l'espace vocalique</w:t>
      </w:r>
      <w:r w:rsidR="00A03F23">
        <w:t xml:space="preserve">. D’autres, </w:t>
      </w:r>
      <w:r w:rsidR="00D87248" w:rsidRPr="00202AEC">
        <w:t xml:space="preserve"> </w:t>
      </w:r>
      <w:r w:rsidR="00A03F23">
        <w:t>en revanche,</w:t>
      </w:r>
      <w:r w:rsidR="00D87248" w:rsidRPr="00202AEC">
        <w:t xml:space="preserve"> affichent une forte influence de leur système phonologique natif, </w:t>
      </w:r>
      <w:r w:rsidR="00301A4E">
        <w:t>ce qui limite</w:t>
      </w:r>
      <w:r w:rsidR="00D87248" w:rsidRPr="00202AEC">
        <w:t xml:space="preserve"> leur capacité à reproduire des sons non familiers</w:t>
      </w:r>
      <w:r w:rsidR="00301A4E">
        <w:t xml:space="preserve"> et</w:t>
      </w:r>
      <w:r w:rsidR="001F7CFD" w:rsidRPr="00202AEC">
        <w:t xml:space="preserve">, </w:t>
      </w:r>
      <w:r w:rsidR="00301A4E">
        <w:t>dans certains cas,</w:t>
      </w:r>
      <w:r w:rsidR="001F7CFD" w:rsidRPr="00202AEC">
        <w:t xml:space="preserve"> démontre une grande difficulté à adopter un comportement phonétique stable </w:t>
      </w:r>
      <w:r w:rsidR="00090732">
        <w:t>pour l’ensemble des</w:t>
      </w:r>
      <w:r w:rsidR="001F7CFD" w:rsidRPr="00202AEC">
        <w:t xml:space="preserve"> cibles et répétitions</w:t>
      </w:r>
      <w:r w:rsidR="00D87248" w:rsidRPr="00202AEC">
        <w:t xml:space="preserve">. </w:t>
      </w:r>
    </w:p>
    <w:p w14:paraId="023460DB" w14:textId="1685E48A" w:rsidR="00F52DBF" w:rsidRDefault="00F17B5B" w:rsidP="00523012">
      <w:pPr>
        <w:snapToGrid w:val="0"/>
        <w:spacing w:line="360" w:lineRule="auto"/>
        <w:contextualSpacing/>
        <w:jc w:val="both"/>
      </w:pPr>
      <w:r w:rsidRPr="00202AEC">
        <w:t>Ainsi, cette recherche</w:t>
      </w:r>
      <w:r w:rsidR="00D87248" w:rsidRPr="00202AEC">
        <w:t xml:space="preserve"> pose les bases d’une compréhension approfondie de</w:t>
      </w:r>
      <w:r w:rsidR="00E42100">
        <w:t xml:space="preserve"> certains</w:t>
      </w:r>
      <w:r w:rsidR="00D87248" w:rsidRPr="00202AEC">
        <w:t xml:space="preserve"> mécanismes</w:t>
      </w:r>
      <w:r w:rsidR="00E42100">
        <w:t xml:space="preserve"> impliqués dans l’</w:t>
      </w:r>
      <w:r w:rsidR="00D87248" w:rsidRPr="004D707A">
        <w:t>apprentissage</w:t>
      </w:r>
      <w:r w:rsidR="00D87248" w:rsidRPr="00202AEC">
        <w:t xml:space="preserve"> </w:t>
      </w:r>
      <w:r w:rsidRPr="00202AEC">
        <w:t>phonétique</w:t>
      </w:r>
      <w:r w:rsidR="00AE7F03">
        <w:t>, envisagé ici à partir de la comparaison entre les performances au pré-test et au post-test, et met en évidence</w:t>
      </w:r>
      <w:r w:rsidR="00EF298D">
        <w:t xml:space="preserve"> </w:t>
      </w:r>
      <w:r w:rsidRPr="00202AEC">
        <w:t xml:space="preserve">des différences individuelles </w:t>
      </w:r>
      <w:r w:rsidR="00DD6657">
        <w:t>entre</w:t>
      </w:r>
      <w:r w:rsidRPr="00202AEC">
        <w:t xml:space="preserve"> apprenants</w:t>
      </w:r>
      <w:r w:rsidR="00DD6657">
        <w:t xml:space="preserve">. Celles-ci ne sont pas uniquement </w:t>
      </w:r>
      <w:r w:rsidRPr="00202AEC">
        <w:t xml:space="preserve">liées à leur expérience, mais également </w:t>
      </w:r>
      <w:r w:rsidR="00DD6657">
        <w:t>à des caractéristiques intrinsèque</w:t>
      </w:r>
      <w:r w:rsidR="00740238">
        <w:t>s</w:t>
      </w:r>
      <w:r w:rsidR="00DD6657">
        <w:t>, d’ordre</w:t>
      </w:r>
      <w:r w:rsidRPr="00202AEC">
        <w:t xml:space="preserve"> psychologique et cognitif. </w:t>
      </w:r>
    </w:p>
    <w:p w14:paraId="0473FE79" w14:textId="5DF5CEFE" w:rsidR="00D87248" w:rsidRPr="00202AEC" w:rsidRDefault="00D87248" w:rsidP="00523012">
      <w:pPr>
        <w:snapToGrid w:val="0"/>
        <w:spacing w:line="360" w:lineRule="auto"/>
        <w:contextualSpacing/>
        <w:jc w:val="both"/>
      </w:pPr>
      <w:r w:rsidRPr="00202AEC">
        <w:t xml:space="preserve">D'un point de vue expérimental, il serait </w:t>
      </w:r>
      <w:r w:rsidR="00F52DBF">
        <w:t xml:space="preserve">pertinent, </w:t>
      </w:r>
      <w:r w:rsidR="00F52DBF" w:rsidRPr="00202AEC">
        <w:t>pour affiner ces résultats</w:t>
      </w:r>
      <w:r w:rsidR="00F52DBF">
        <w:t>,</w:t>
      </w:r>
      <w:r w:rsidRPr="00202AEC">
        <w:t xml:space="preserve"> </w:t>
      </w:r>
      <w:r w:rsidR="00F52DBF">
        <w:t>d’examiner</w:t>
      </w:r>
      <w:r w:rsidRPr="00202AEC">
        <w:t xml:space="preserve"> l'interaction entre la compliance phonique et d'autres variables telles que la mémoire de travail (</w:t>
      </w:r>
      <w:r w:rsidR="008B5A08" w:rsidRPr="008B5A08">
        <w:rPr>
          <w:color w:val="000000" w:themeColor="text1"/>
        </w:rPr>
        <w:t>Brown Nielson</w:t>
      </w:r>
      <w:r w:rsidR="008B5A08">
        <w:rPr>
          <w:color w:val="000000" w:themeColor="text1"/>
        </w:rPr>
        <w:t xml:space="preserve"> </w:t>
      </w:r>
      <w:r w:rsidR="008B5A08" w:rsidRPr="008B5A08">
        <w:rPr>
          <w:color w:val="000000" w:themeColor="text1"/>
        </w:rPr>
        <w:t>&amp; DeKeyser</w:t>
      </w:r>
      <w:r w:rsidR="008B5A08">
        <w:rPr>
          <w:color w:val="000000" w:themeColor="text1"/>
        </w:rPr>
        <w:t>, 2019 ;</w:t>
      </w:r>
      <w:r w:rsidR="008B5A08" w:rsidRPr="00202AEC">
        <w:t xml:space="preserve"> </w:t>
      </w:r>
      <w:r w:rsidR="00194513" w:rsidRPr="00202AEC">
        <w:t>Li</w:t>
      </w:r>
      <w:r w:rsidRPr="00202AEC">
        <w:t>, 20</w:t>
      </w:r>
      <w:r w:rsidR="00194513" w:rsidRPr="00202AEC">
        <w:t>22</w:t>
      </w:r>
      <w:r w:rsidR="00DE5C21" w:rsidRPr="00202AEC">
        <w:t> </w:t>
      </w:r>
      <w:r w:rsidRPr="00202AEC">
        <w:t xml:space="preserve">; Li </w:t>
      </w:r>
      <w:r w:rsidR="005F72F5" w:rsidRPr="00202AEC">
        <w:t>&amp;</w:t>
      </w:r>
      <w:r w:rsidRPr="00202AEC">
        <w:t xml:space="preserve"> Zhao, 2021</w:t>
      </w:r>
      <w:r w:rsidR="00DE5C21" w:rsidRPr="00202AEC">
        <w:t> </w:t>
      </w:r>
      <w:r w:rsidRPr="00202AEC">
        <w:t xml:space="preserve">; </w:t>
      </w:r>
      <w:r w:rsidR="00876E34" w:rsidRPr="00202AEC">
        <w:t>Saito et al., 2023</w:t>
      </w:r>
      <w:r w:rsidRPr="00202AEC">
        <w:t>), les stratégies d’apprentissage (</w:t>
      </w:r>
      <w:r w:rsidR="00AE21AF" w:rsidRPr="00202AEC">
        <w:t xml:space="preserve">Li et al., 2022 ; </w:t>
      </w:r>
      <w:r w:rsidRPr="00202AEC">
        <w:t xml:space="preserve">Smemoe </w:t>
      </w:r>
      <w:r w:rsidR="005F72F5" w:rsidRPr="00202AEC">
        <w:t>&amp;</w:t>
      </w:r>
      <w:r w:rsidRPr="00202AEC">
        <w:t xml:space="preserve"> Haslam, 2013), la motivation (</w:t>
      </w:r>
      <w:r w:rsidR="00F04867" w:rsidRPr="00202AEC">
        <w:t xml:space="preserve">As Sabiq et al., 2021 ; </w:t>
      </w:r>
      <w:r w:rsidR="00293233" w:rsidRPr="00202AEC">
        <w:t>Oga-Baldwin &amp; Fryer, 2020</w:t>
      </w:r>
      <w:r w:rsidR="00F04867" w:rsidRPr="00202AEC">
        <w:t> ;</w:t>
      </w:r>
      <w:r w:rsidR="00055CB3" w:rsidRPr="00202AEC">
        <w:t xml:space="preserve"> Zhan</w:t>
      </w:r>
      <w:r w:rsidR="00B23C8F" w:rsidRPr="00202AEC">
        <w:t>g</w:t>
      </w:r>
      <w:r w:rsidR="00055CB3" w:rsidRPr="00202AEC">
        <w:t xml:space="preserve"> et al., 2020</w:t>
      </w:r>
      <w:r w:rsidRPr="00202AEC">
        <w:t>) ou encore l'anxiété linguistique (</w:t>
      </w:r>
      <w:r w:rsidR="002C23E8" w:rsidRPr="00202AEC">
        <w:t xml:space="preserve">Piniel &amp; Zólyomi, 2022 ; Russell, 2020 ; </w:t>
      </w:r>
      <w:r w:rsidRPr="00202AEC">
        <w:t>Sparks et al., 20</w:t>
      </w:r>
      <w:r w:rsidR="007770B0" w:rsidRPr="00202AEC">
        <w:t>1</w:t>
      </w:r>
      <w:r w:rsidRPr="00202AEC">
        <w:t>9</w:t>
      </w:r>
      <w:r w:rsidR="00754043" w:rsidRPr="00202AEC">
        <w:t>, 2022</w:t>
      </w:r>
      <w:r w:rsidR="00293233" w:rsidRPr="00202AEC">
        <w:t> ; Xu &amp; Xie, 2024</w:t>
      </w:r>
      <w:r w:rsidRPr="00202AEC">
        <w:t>)</w:t>
      </w:r>
      <w:r w:rsidR="00F52DBF">
        <w:t>.</w:t>
      </w:r>
      <w:r w:rsidR="00F505E1">
        <w:t xml:space="preserve"> Des concepts plus larges tels que</w:t>
      </w:r>
      <w:r w:rsidRPr="00202AEC">
        <w:t xml:space="preserve"> l’intelligence </w:t>
      </w:r>
      <w:r w:rsidR="00003351" w:rsidRPr="00202AEC">
        <w:t xml:space="preserve">« culturelle » et « émotionnelle » </w:t>
      </w:r>
      <w:r w:rsidRPr="00202AEC">
        <w:t>(Bowles et al., 2016</w:t>
      </w:r>
      <w:r w:rsidR="00AA1A04" w:rsidRPr="00202AEC">
        <w:t xml:space="preserve"> ; </w:t>
      </w:r>
      <w:r w:rsidR="000D60B2" w:rsidRPr="00202AEC">
        <w:t xml:space="preserve">Presbitero, 2020 ; </w:t>
      </w:r>
      <w:r w:rsidR="00AA1A04" w:rsidRPr="00202AEC">
        <w:t>Wang &amp; Liu, 2023</w:t>
      </w:r>
      <w:r w:rsidRPr="00202AEC">
        <w:t>)</w:t>
      </w:r>
      <w:r w:rsidR="00F505E1">
        <w:t xml:space="preserve"> pourraient également enrichir l’analyse</w:t>
      </w:r>
      <w:r w:rsidRPr="00202AEC">
        <w:t xml:space="preserve">. Ces pistes, </w:t>
      </w:r>
      <w:r w:rsidR="00BD4CB4">
        <w:t>souvent</w:t>
      </w:r>
      <w:r w:rsidRPr="00202AEC">
        <w:t xml:space="preserve"> évoquées dans la littérature, </w:t>
      </w:r>
      <w:r w:rsidR="00F505E1">
        <w:t>ouvrent</w:t>
      </w:r>
      <w:r w:rsidRPr="00202AEC">
        <w:t xml:space="preserve"> des perspectives prometteuses </w:t>
      </w:r>
      <w:r w:rsidR="00F505E1">
        <w:t>en vue d’</w:t>
      </w:r>
      <w:r w:rsidRPr="00202AEC">
        <w:t xml:space="preserve">une compréhension intégrative des facteurs influençant </w:t>
      </w:r>
      <w:r w:rsidR="00F72B43" w:rsidRPr="00202AEC">
        <w:t>l’</w:t>
      </w:r>
      <w:r w:rsidR="00F72B43">
        <w:t xml:space="preserve">apprentissage </w:t>
      </w:r>
      <w:r w:rsidR="00DF4218" w:rsidRPr="00202AEC">
        <w:t xml:space="preserve">phonétique et </w:t>
      </w:r>
      <w:r w:rsidRPr="00202AEC">
        <w:t>phonologi</w:t>
      </w:r>
      <w:r w:rsidR="00F505E1">
        <w:t>qu</w:t>
      </w:r>
      <w:r w:rsidRPr="00202AEC">
        <w:t>e</w:t>
      </w:r>
      <w:r w:rsidR="00DF4218" w:rsidRPr="00202AEC">
        <w:t xml:space="preserve"> </w:t>
      </w:r>
      <w:r w:rsidR="00F505E1">
        <w:t>en</w:t>
      </w:r>
      <w:r w:rsidR="00DF4218" w:rsidRPr="00202AEC">
        <w:t xml:space="preserve"> langue étrangère</w:t>
      </w:r>
      <w:r w:rsidRPr="00202AEC">
        <w:t xml:space="preserve">. </w:t>
      </w:r>
    </w:p>
    <w:p w14:paraId="233BD27A" w14:textId="5833A639" w:rsidR="002C2283" w:rsidRPr="00202AEC" w:rsidRDefault="00E93182" w:rsidP="00523012">
      <w:pPr>
        <w:snapToGrid w:val="0"/>
        <w:spacing w:before="100" w:beforeAutospacing="1" w:after="100" w:afterAutospacing="1" w:line="360" w:lineRule="auto"/>
        <w:contextualSpacing/>
        <w:jc w:val="both"/>
      </w:pPr>
      <w:r w:rsidRPr="00202AEC">
        <w:t>Sur</w:t>
      </w:r>
      <w:r w:rsidR="00590433" w:rsidRPr="00202AEC">
        <w:t xml:space="preserve"> le plan </w:t>
      </w:r>
      <w:r w:rsidR="004B6C6D" w:rsidRPr="00202AEC">
        <w:t xml:space="preserve">de la </w:t>
      </w:r>
      <w:r w:rsidR="00E42100">
        <w:t xml:space="preserve">recherche </w:t>
      </w:r>
      <w:r w:rsidR="00590433" w:rsidRPr="00202AEC">
        <w:t>expérimental</w:t>
      </w:r>
      <w:r w:rsidR="004B6C6D" w:rsidRPr="00202AEC">
        <w:t>e</w:t>
      </w:r>
      <w:r w:rsidR="00590433" w:rsidRPr="00202AEC">
        <w:t>, l</w:t>
      </w:r>
      <w:r w:rsidR="005C5ED6" w:rsidRPr="00202AEC">
        <w:t>e protocole de</w:t>
      </w:r>
      <w:r w:rsidR="00590433" w:rsidRPr="00202AEC">
        <w:t xml:space="preserve"> compliance phonique </w:t>
      </w:r>
      <w:r w:rsidR="00AB49A5">
        <w:t>se révèle être</w:t>
      </w:r>
      <w:r w:rsidR="005C5ED6" w:rsidRPr="00202AEC">
        <w:t xml:space="preserve"> un outil </w:t>
      </w:r>
      <w:r w:rsidR="00AB49A5">
        <w:t>précieux</w:t>
      </w:r>
      <w:r w:rsidR="005C5ED6" w:rsidRPr="00202AEC">
        <w:t xml:space="preserve"> pour constituer</w:t>
      </w:r>
      <w:r w:rsidR="00D82864" w:rsidRPr="00202AEC">
        <w:t xml:space="preserve"> des groupes </w:t>
      </w:r>
      <w:r w:rsidR="00E42100">
        <w:t xml:space="preserve">comparables au regard d’une dimension spécifique de la compétence phonologique </w:t>
      </w:r>
      <w:r w:rsidR="00CB0DFF">
        <w:t xml:space="preserve">– à savoir la capacité à percevoir et à reproduire des </w:t>
      </w:r>
      <w:r w:rsidR="00CB0DFF">
        <w:lastRenderedPageBreak/>
        <w:t xml:space="preserve">sons non familiers – </w:t>
      </w:r>
      <w:r w:rsidR="005C5ED6" w:rsidRPr="00202AEC">
        <w:t xml:space="preserve">et </w:t>
      </w:r>
      <w:r w:rsidR="00CB0DFF">
        <w:t xml:space="preserve">ainsi </w:t>
      </w:r>
      <w:r w:rsidR="005C5ED6" w:rsidRPr="00202AEC">
        <w:t xml:space="preserve">garantir </w:t>
      </w:r>
      <w:r w:rsidR="00D82864" w:rsidRPr="00202AEC">
        <w:t>des</w:t>
      </w:r>
      <w:r w:rsidR="00590433" w:rsidRPr="00202AEC">
        <w:t xml:space="preserve"> comparaisons </w:t>
      </w:r>
      <w:r w:rsidR="00370A4B" w:rsidRPr="00202AEC">
        <w:t>rigoureuses</w:t>
      </w:r>
      <w:r w:rsidR="00590433" w:rsidRPr="00202AEC">
        <w:t xml:space="preserve"> entre différentes interventions pédagogiques</w:t>
      </w:r>
      <w:r w:rsidR="004B6C6D" w:rsidRPr="00202AEC">
        <w:t xml:space="preserve"> dont on souhaite tester l’efficacité</w:t>
      </w:r>
      <w:r w:rsidR="00D82864" w:rsidRPr="00202AEC">
        <w:t xml:space="preserve">. </w:t>
      </w:r>
      <w:r w:rsidR="00AB49A5">
        <w:t>À ce titre</w:t>
      </w:r>
      <w:r w:rsidR="002C2283" w:rsidRPr="00202AEC">
        <w:t xml:space="preserve">, cette étude contribue à valider l’intérêt méthodologique d’un </w:t>
      </w:r>
      <w:r w:rsidR="00AB49A5">
        <w:t>dispositif j</w:t>
      </w:r>
      <w:r w:rsidR="002C2283" w:rsidRPr="00202AEC">
        <w:t xml:space="preserve">usqu’ici </w:t>
      </w:r>
      <w:r w:rsidR="00B51CA7">
        <w:t>principalement</w:t>
      </w:r>
      <w:r w:rsidR="002C2283" w:rsidRPr="00202AEC">
        <w:t xml:space="preserve"> testé sur de petits échantillons, en démontrant sa capacité à faire émerger des profils fonctionnels distincts au sein d’un groupe pourtant homogène sur le plan sociolinguistique. En rendant visible la variabilité interindividuelle dans le traitement phonique d’une langue étrangère, le protocole proposé </w:t>
      </w:r>
      <w:r w:rsidR="004B6C6D" w:rsidRPr="00202AEC">
        <w:t xml:space="preserve">pourrait </w:t>
      </w:r>
      <w:r w:rsidR="002C2283" w:rsidRPr="00202AEC">
        <w:t>constitue</w:t>
      </w:r>
      <w:r w:rsidR="004B6C6D" w:rsidRPr="00202AEC">
        <w:t>r</w:t>
      </w:r>
      <w:r w:rsidR="002C2283" w:rsidRPr="00202AEC">
        <w:t xml:space="preserve"> une avancée significative pour les </w:t>
      </w:r>
      <w:r w:rsidR="00B51CA7">
        <w:t>recherches</w:t>
      </w:r>
      <w:r w:rsidR="002C2283" w:rsidRPr="00202AEC">
        <w:t xml:space="preserve"> expérimentales en</w:t>
      </w:r>
      <w:r w:rsidR="00F72B43">
        <w:t xml:space="preserve"> </w:t>
      </w:r>
      <w:r w:rsidR="002C2283" w:rsidRPr="00202AEC">
        <w:t>L2.</w:t>
      </w:r>
    </w:p>
    <w:p w14:paraId="76DFAA2A" w14:textId="79D20F6D" w:rsidR="00655B5F" w:rsidRPr="00202AEC" w:rsidRDefault="00E93182" w:rsidP="00523012">
      <w:pPr>
        <w:snapToGrid w:val="0"/>
        <w:spacing w:before="100" w:beforeAutospacing="1" w:after="100" w:afterAutospacing="1" w:line="360" w:lineRule="auto"/>
        <w:contextualSpacing/>
        <w:jc w:val="both"/>
      </w:pPr>
      <w:r w:rsidRPr="00202AEC">
        <w:t>Enfin</w:t>
      </w:r>
      <w:r w:rsidR="00370A4B" w:rsidRPr="00202AEC">
        <w:t>,</w:t>
      </w:r>
      <w:r w:rsidR="00636745" w:rsidRPr="00202AEC">
        <w:t xml:space="preserve"> cette</w:t>
      </w:r>
      <w:r w:rsidR="00590433" w:rsidRPr="00202AEC">
        <w:t xml:space="preserve"> étude </w:t>
      </w:r>
      <w:r w:rsidR="00370A4B" w:rsidRPr="00202AEC">
        <w:t xml:space="preserve">illustre également comment </w:t>
      </w:r>
      <w:r w:rsidR="005C5ED6" w:rsidRPr="00202AEC">
        <w:t>la compliance phonique</w:t>
      </w:r>
      <w:r w:rsidR="00370A4B" w:rsidRPr="00202AEC">
        <w:t>,</w:t>
      </w:r>
      <w:r w:rsidR="00D82864" w:rsidRPr="00202AEC">
        <w:t xml:space="preserve"> </w:t>
      </w:r>
      <w:r w:rsidR="005C5ED6" w:rsidRPr="00202AEC">
        <w:t>en tant qu’</w:t>
      </w:r>
      <w:r w:rsidR="00D82864" w:rsidRPr="00202AEC">
        <w:t>aptitude</w:t>
      </w:r>
      <w:r w:rsidR="00370A4B" w:rsidRPr="00202AEC">
        <w:t>,</w:t>
      </w:r>
      <w:r w:rsidR="00D82864" w:rsidRPr="00202AEC">
        <w:t xml:space="preserve"> </w:t>
      </w:r>
      <w:r w:rsidR="00370A4B" w:rsidRPr="00202AEC">
        <w:t xml:space="preserve">peut </w:t>
      </w:r>
      <w:r w:rsidR="00B51CA7">
        <w:t>nourrir</w:t>
      </w:r>
      <w:r w:rsidR="00370A4B" w:rsidRPr="00202AEC">
        <w:t xml:space="preserve"> la réflexion</w:t>
      </w:r>
      <w:r w:rsidR="00D82864" w:rsidRPr="00202AEC">
        <w:t xml:space="preserve"> </w:t>
      </w:r>
      <w:r w:rsidR="00370A4B" w:rsidRPr="00202AEC">
        <w:t xml:space="preserve">sur </w:t>
      </w:r>
      <w:r w:rsidR="00590433" w:rsidRPr="00202AEC">
        <w:t xml:space="preserve">les stratégies </w:t>
      </w:r>
      <w:r w:rsidR="00D82864" w:rsidRPr="00202AEC">
        <w:t>d’enseignement</w:t>
      </w:r>
      <w:r w:rsidR="00370A4B" w:rsidRPr="00202AEC">
        <w:t xml:space="preserve">, </w:t>
      </w:r>
      <w:r w:rsidR="00D82864" w:rsidRPr="00202AEC">
        <w:t xml:space="preserve">en soulignant la </w:t>
      </w:r>
      <w:r w:rsidR="00FA1785" w:rsidRPr="00202AEC">
        <w:t>variabilité in</w:t>
      </w:r>
      <w:r w:rsidR="00D82864" w:rsidRPr="00202AEC">
        <w:t>ter</w:t>
      </w:r>
      <w:r w:rsidR="00134E57" w:rsidRPr="00202AEC">
        <w:t>in</w:t>
      </w:r>
      <w:r w:rsidR="00FA1785" w:rsidRPr="00202AEC">
        <w:t xml:space="preserve">dividuelle dans les </w:t>
      </w:r>
      <w:r w:rsidR="003F3D32">
        <w:t xml:space="preserve">performances </w:t>
      </w:r>
      <w:r w:rsidR="00FA1785" w:rsidRPr="00202AEC">
        <w:t>phonologiques, même lorsque les apprenants partagent des caractéristiques communes telles que l</w:t>
      </w:r>
      <w:r w:rsidR="00B51CA7">
        <w:t>a</w:t>
      </w:r>
      <w:r w:rsidR="00FA1785" w:rsidRPr="00202AEC">
        <w:t xml:space="preserve"> langue maternelle, l</w:t>
      </w:r>
      <w:r w:rsidR="00B51CA7">
        <w:t>’</w:t>
      </w:r>
      <w:r w:rsidR="00FA1785" w:rsidRPr="00202AEC">
        <w:t xml:space="preserve">âge ou d’autres </w:t>
      </w:r>
      <w:r w:rsidR="00F21A66" w:rsidRPr="00202AEC">
        <w:t>éléments de leur parcours linguistique</w:t>
      </w:r>
      <w:r w:rsidR="00FA1785" w:rsidRPr="00202AEC">
        <w:t xml:space="preserve">. </w:t>
      </w:r>
      <w:r w:rsidR="00942C07" w:rsidRPr="00202AEC">
        <w:t>Une</w:t>
      </w:r>
      <w:r w:rsidR="00FA1785" w:rsidRPr="00202AEC">
        <w:t xml:space="preserve"> évaluation de la compliance phonique</w:t>
      </w:r>
      <w:r w:rsidR="00CB0DFF">
        <w:t>, entendue</w:t>
      </w:r>
      <w:r w:rsidR="00FA1785" w:rsidRPr="00202AEC">
        <w:t xml:space="preserve"> comme indicateur </w:t>
      </w:r>
      <w:r w:rsidR="00CB0DFF">
        <w:t xml:space="preserve">partiel </w:t>
      </w:r>
      <w:r w:rsidR="00FA1785" w:rsidRPr="00202AEC">
        <w:t xml:space="preserve">des différences individuelles dans </w:t>
      </w:r>
      <w:r w:rsidR="00EF03CD">
        <w:t>le traitement</w:t>
      </w:r>
      <w:r w:rsidR="00EF03CD" w:rsidRPr="00202AEC">
        <w:t xml:space="preserve"> </w:t>
      </w:r>
      <w:r w:rsidR="00FA1785" w:rsidRPr="00202AEC">
        <w:t>phonologique d'une L2</w:t>
      </w:r>
      <w:r w:rsidR="00CB0DFF">
        <w:t>,</w:t>
      </w:r>
      <w:r w:rsidR="00942C07" w:rsidRPr="00202AEC">
        <w:t xml:space="preserve"> </w:t>
      </w:r>
      <w:r w:rsidR="00CB0DFF">
        <w:t xml:space="preserve">pourrait contribuer à </w:t>
      </w:r>
      <w:r w:rsidR="00942C07" w:rsidRPr="00202AEC">
        <w:t xml:space="preserve">mieux identifier </w:t>
      </w:r>
      <w:r w:rsidR="00CB0DFF">
        <w:t>certaines</w:t>
      </w:r>
      <w:r w:rsidR="00942C07" w:rsidRPr="00202AEC">
        <w:t xml:space="preserve"> disparités entre étudiants </w:t>
      </w:r>
      <w:r w:rsidR="004B6C6D" w:rsidRPr="00202AEC">
        <w:t xml:space="preserve">d’un même groupe-classe, </w:t>
      </w:r>
      <w:r w:rsidR="00942C07" w:rsidRPr="00202AEC">
        <w:t xml:space="preserve">et </w:t>
      </w:r>
      <w:r w:rsidR="00CB0DFF" w:rsidRPr="00427876">
        <w:t xml:space="preserve">à </w:t>
      </w:r>
      <w:r w:rsidR="00942C07" w:rsidRPr="00202AEC">
        <w:t>adapter les approches pédagogiques</w:t>
      </w:r>
      <w:r w:rsidR="00B51CA7">
        <w:t xml:space="preserve"> en conséquence</w:t>
      </w:r>
      <w:r w:rsidR="00FA1785" w:rsidRPr="00202AEC">
        <w:t xml:space="preserve">. </w:t>
      </w:r>
      <w:r w:rsidR="00134E57" w:rsidRPr="00202AEC">
        <w:t xml:space="preserve">Les données recueillies </w:t>
      </w:r>
      <w:r w:rsidR="00B51CA7">
        <w:t>soulignent</w:t>
      </w:r>
      <w:r w:rsidR="00134E57" w:rsidRPr="00202AEC">
        <w:t xml:space="preserve"> l’importance d’intégrer</w:t>
      </w:r>
      <w:r w:rsidR="00FA1785" w:rsidRPr="00202AEC">
        <w:t xml:space="preserve"> </w:t>
      </w:r>
      <w:r w:rsidR="00B51CA7">
        <w:t>cette</w:t>
      </w:r>
      <w:r w:rsidR="00FA1785" w:rsidRPr="00202AEC">
        <w:t xml:space="preserve"> variabilité individuelle dans l’élaboration de stratégies </w:t>
      </w:r>
      <w:r w:rsidR="00B51CA7">
        <w:t>didactiques</w:t>
      </w:r>
      <w:r w:rsidR="00FA1785" w:rsidRPr="00202AEC">
        <w:t xml:space="preserve">. En effet, des profils distincts en termes de compliance phonique justifieraient des approches différenciées, </w:t>
      </w:r>
      <w:r w:rsidR="002B2C3C">
        <w:t>ajustées</w:t>
      </w:r>
      <w:r w:rsidR="00FA1785" w:rsidRPr="00202AEC">
        <w:t xml:space="preserve"> à la précision des </w:t>
      </w:r>
      <w:r w:rsidR="0081791A">
        <w:t>productions</w:t>
      </w:r>
      <w:r w:rsidR="00FA1785" w:rsidRPr="00202AEC">
        <w:t xml:space="preserve"> et à la capacité des apprenants à explorer de nouvelles configurations phoniques. Les apprenants présentant </w:t>
      </w:r>
      <w:r w:rsidR="00D022AD">
        <w:t>une faible aptitude</w:t>
      </w:r>
      <w:r w:rsidR="0081791A">
        <w:t xml:space="preserve"> de </w:t>
      </w:r>
      <w:r w:rsidR="00FA1785" w:rsidRPr="00202AEC">
        <w:t xml:space="preserve">compliance pourraient </w:t>
      </w:r>
      <w:r w:rsidR="0081791A">
        <w:t xml:space="preserve">notamment </w:t>
      </w:r>
      <w:r w:rsidR="00FA1785" w:rsidRPr="00202AEC">
        <w:t xml:space="preserve">bénéficier de programmes pédagogiques </w:t>
      </w:r>
      <w:r w:rsidR="0081791A">
        <w:t>ciblés,</w:t>
      </w:r>
      <w:r w:rsidR="00FA1785" w:rsidRPr="00202AEC">
        <w:t xml:space="preserve"> axés sur la discrimination auditive et la reproduction de sons non natifs.</w:t>
      </w:r>
      <w:r w:rsidR="00440AA0">
        <w:t xml:space="preserve"> </w:t>
      </w:r>
      <w:r w:rsidR="00582721" w:rsidRPr="00202AEC">
        <w:t xml:space="preserve">Plusieurs travaux récents </w:t>
      </w:r>
      <w:r w:rsidR="0081791A">
        <w:t>rappellent</w:t>
      </w:r>
      <w:r w:rsidR="007C4BFA" w:rsidRPr="00202AEC">
        <w:t xml:space="preserve"> l’importance de prendre en compte les différences interindividuelles, </w:t>
      </w:r>
      <w:r w:rsidR="0081791A">
        <w:t xml:space="preserve">qu’elles concernent </w:t>
      </w:r>
      <w:r w:rsidR="007C4BFA" w:rsidRPr="00202AEC">
        <w:t xml:space="preserve">les compétences linguistiques, </w:t>
      </w:r>
      <w:r w:rsidR="0081791A">
        <w:t>les processus</w:t>
      </w:r>
      <w:r w:rsidR="007C4BFA" w:rsidRPr="00202AEC">
        <w:t xml:space="preserve"> cognitif</w:t>
      </w:r>
      <w:r w:rsidR="0081791A">
        <w:t>s</w:t>
      </w:r>
      <w:r w:rsidR="007C4BFA" w:rsidRPr="00202AEC">
        <w:t xml:space="preserve"> ou </w:t>
      </w:r>
      <w:r w:rsidR="0081791A">
        <w:t xml:space="preserve">les </w:t>
      </w:r>
      <w:r w:rsidR="007C4BFA" w:rsidRPr="00202AEC">
        <w:t>caractéristiques personnelles</w:t>
      </w:r>
      <w:r w:rsidR="0081320E">
        <w:t xml:space="preserve"> des apprenants</w:t>
      </w:r>
      <w:r w:rsidR="007C4BFA" w:rsidRPr="00202AEC">
        <w:t xml:space="preserve">, </w:t>
      </w:r>
      <w:r w:rsidR="0081320E">
        <w:t>afin de</w:t>
      </w:r>
      <w:r w:rsidR="007C4BFA" w:rsidRPr="00202AEC">
        <w:t xml:space="preserve"> mieux comprendre les trajectoires </w:t>
      </w:r>
      <w:r w:rsidR="0048624A" w:rsidRPr="00202AEC">
        <w:t>d’a</w:t>
      </w:r>
      <w:r w:rsidR="0048624A">
        <w:t>pprentissage</w:t>
      </w:r>
      <w:r w:rsidR="0048624A" w:rsidRPr="00202AEC">
        <w:t xml:space="preserve"> </w:t>
      </w:r>
      <w:r w:rsidR="007C4BFA" w:rsidRPr="00202AEC">
        <w:t xml:space="preserve">et </w:t>
      </w:r>
      <w:r w:rsidR="00142839">
        <w:t>d’</w:t>
      </w:r>
      <w:r w:rsidR="007C4BFA" w:rsidRPr="00202AEC">
        <w:t xml:space="preserve">orienter les pratiques pédagogiques </w:t>
      </w:r>
      <w:r w:rsidR="00582721" w:rsidRPr="00202AEC">
        <w:t>(</w:t>
      </w:r>
      <w:r w:rsidR="0074589F" w:rsidRPr="00202AEC">
        <w:t xml:space="preserve">Bakkouche &amp; Saito, 2025 ; </w:t>
      </w:r>
      <w:r w:rsidR="00582721" w:rsidRPr="00202AEC">
        <w:t>Liu et a</w:t>
      </w:r>
      <w:r w:rsidR="00D022AD">
        <w:t>l</w:t>
      </w:r>
      <w:r w:rsidR="00582721" w:rsidRPr="00202AEC">
        <w:t>., 2024 ; Yao et al., 2025)</w:t>
      </w:r>
      <w:r w:rsidR="00A96FF0" w:rsidRPr="00202AEC">
        <w:t xml:space="preserve">. </w:t>
      </w:r>
    </w:p>
    <w:p w14:paraId="71F5596D" w14:textId="0AA6C761" w:rsidR="005612D5" w:rsidRDefault="00590433" w:rsidP="00DF24FC">
      <w:pPr>
        <w:snapToGrid w:val="0"/>
        <w:spacing w:line="360" w:lineRule="auto"/>
        <w:contextualSpacing/>
        <w:jc w:val="both"/>
      </w:pPr>
      <w:r w:rsidRPr="00202AEC">
        <w:t>Ainsi, l'intégration de l</w:t>
      </w:r>
      <w:r w:rsidR="004B6C6D" w:rsidRPr="00202AEC">
        <w:t>’aptitude phonétique</w:t>
      </w:r>
      <w:r w:rsidR="00440AA0">
        <w:t xml:space="preserve">, conceptualisée à travers la notion de </w:t>
      </w:r>
      <w:r w:rsidRPr="00202AEC">
        <w:t>compliance phonique</w:t>
      </w:r>
      <w:r w:rsidR="00440AA0">
        <w:t>,</w:t>
      </w:r>
      <w:r w:rsidRPr="00202AEC">
        <w:t xml:space="preserve"> dans les approches </w:t>
      </w:r>
      <w:r w:rsidR="00953D8F" w:rsidRPr="00202AEC">
        <w:t xml:space="preserve">expérimentales et </w:t>
      </w:r>
      <w:r w:rsidRPr="00202AEC">
        <w:t>pédagogiques</w:t>
      </w:r>
      <w:r w:rsidR="00440AA0">
        <w:t>,</w:t>
      </w:r>
      <w:r w:rsidRPr="00202AEC">
        <w:t xml:space="preserve"> est cruciale pour optimiser les </w:t>
      </w:r>
      <w:r w:rsidR="00440AA0">
        <w:t>dispositifs</w:t>
      </w:r>
      <w:r w:rsidRPr="00202AEC">
        <w:t xml:space="preserve"> d</w:t>
      </w:r>
      <w:r w:rsidR="00953D8F" w:rsidRPr="00202AEC">
        <w:t xml:space="preserve">e recherche et </w:t>
      </w:r>
      <w:r w:rsidR="00507960">
        <w:t xml:space="preserve">les pratiques </w:t>
      </w:r>
      <w:r w:rsidR="00953D8F" w:rsidRPr="00202AEC">
        <w:t>d’</w:t>
      </w:r>
      <w:r w:rsidR="00507960">
        <w:t>enseignement-</w:t>
      </w:r>
      <w:r w:rsidRPr="00202AEC">
        <w:t xml:space="preserve">apprentissage </w:t>
      </w:r>
      <w:r w:rsidR="00953D8F" w:rsidRPr="00202AEC">
        <w:t xml:space="preserve">en </w:t>
      </w:r>
      <w:r w:rsidRPr="00202AEC">
        <w:t xml:space="preserve">phonétique des langues </w:t>
      </w:r>
      <w:r w:rsidR="00953D8F" w:rsidRPr="00202AEC">
        <w:t>étrangères</w:t>
      </w:r>
      <w:r w:rsidRPr="00202AEC">
        <w:t>.</w:t>
      </w:r>
      <w:r w:rsidR="002C2283" w:rsidRPr="00202AEC">
        <w:t xml:space="preserve"> Elle </w:t>
      </w:r>
      <w:r w:rsidR="00507960">
        <w:t>souligne</w:t>
      </w:r>
      <w:r w:rsidR="002C2283" w:rsidRPr="00202AEC">
        <w:t xml:space="preserve"> la pertinence d’une prise en compte systématique des profils individuels dans la conception des interventions didactiques</w:t>
      </w:r>
      <w:r w:rsidR="00507960">
        <w:t xml:space="preserve"> et </w:t>
      </w:r>
      <w:r w:rsidR="002C2283" w:rsidRPr="00202AEC">
        <w:t>contribu</w:t>
      </w:r>
      <w:r w:rsidR="00507960">
        <w:t>e</w:t>
      </w:r>
      <w:r w:rsidR="00BF27C3">
        <w:t xml:space="preserve"> </w:t>
      </w:r>
      <w:r w:rsidR="002C2283" w:rsidRPr="00202AEC">
        <w:t xml:space="preserve">à une compréhension </w:t>
      </w:r>
      <w:r w:rsidR="00507960">
        <w:t xml:space="preserve">plus fine </w:t>
      </w:r>
      <w:r w:rsidR="002C2283" w:rsidRPr="00202AEC">
        <w:t xml:space="preserve">des dynamiques </w:t>
      </w:r>
      <w:r w:rsidR="00075A13">
        <w:t>de développement</w:t>
      </w:r>
      <w:r w:rsidR="00075A13" w:rsidRPr="00202AEC">
        <w:t xml:space="preserve"> </w:t>
      </w:r>
      <w:r w:rsidR="002C2283" w:rsidRPr="00202AEC">
        <w:t>phonologique en L2.</w:t>
      </w:r>
    </w:p>
    <w:p w14:paraId="71CE3888" w14:textId="0F5BB232" w:rsidR="00090732" w:rsidRDefault="00090732" w:rsidP="00DF24FC">
      <w:pPr>
        <w:snapToGrid w:val="0"/>
        <w:spacing w:line="360" w:lineRule="auto"/>
        <w:contextualSpacing/>
        <w:jc w:val="both"/>
      </w:pPr>
    </w:p>
    <w:p w14:paraId="4BCFD426" w14:textId="77777777" w:rsidR="00090732" w:rsidRPr="006C0AC9" w:rsidRDefault="00090732" w:rsidP="00DF24FC">
      <w:pPr>
        <w:snapToGrid w:val="0"/>
        <w:spacing w:line="360" w:lineRule="auto"/>
        <w:contextualSpacing/>
        <w:jc w:val="both"/>
      </w:pPr>
    </w:p>
    <w:p w14:paraId="666730E4" w14:textId="033B3287" w:rsidR="00924CAE" w:rsidRPr="00202AEC" w:rsidRDefault="00924CAE" w:rsidP="00DF24FC">
      <w:pPr>
        <w:pStyle w:val="Paragraphedeliste"/>
        <w:numPr>
          <w:ilvl w:val="0"/>
          <w:numId w:val="1"/>
        </w:numPr>
        <w:snapToGrid w:val="0"/>
        <w:spacing w:line="360" w:lineRule="auto"/>
        <w:ind w:left="0" w:firstLine="426"/>
        <w:jc w:val="both"/>
        <w:rPr>
          <w:b/>
          <w:bCs/>
        </w:rPr>
      </w:pPr>
      <w:r w:rsidRPr="00202AEC">
        <w:rPr>
          <w:b/>
          <w:bCs/>
        </w:rPr>
        <w:t>Conclusion</w:t>
      </w:r>
    </w:p>
    <w:p w14:paraId="41012775" w14:textId="77777777" w:rsidR="007D713E" w:rsidRPr="00202AEC" w:rsidRDefault="007D713E" w:rsidP="00DF24FC">
      <w:pPr>
        <w:snapToGrid w:val="0"/>
        <w:spacing w:line="360" w:lineRule="auto"/>
        <w:contextualSpacing/>
        <w:jc w:val="both"/>
      </w:pPr>
    </w:p>
    <w:p w14:paraId="677FFB1F" w14:textId="00208FEF" w:rsidR="007D713E" w:rsidRDefault="007D713E" w:rsidP="00523012">
      <w:pPr>
        <w:snapToGrid w:val="0"/>
        <w:spacing w:line="360" w:lineRule="auto"/>
        <w:contextualSpacing/>
        <w:jc w:val="both"/>
      </w:pPr>
      <w:r w:rsidRPr="00202AEC">
        <w:t xml:space="preserve">En conclusion, cette étude menée auprès de 41 sujets hispanophones met en </w:t>
      </w:r>
      <w:r w:rsidR="00DA022D">
        <w:t>lumière</w:t>
      </w:r>
      <w:r w:rsidRPr="00202AEC">
        <w:t xml:space="preserve"> </w:t>
      </w:r>
      <w:r w:rsidR="00DA022D">
        <w:t xml:space="preserve">des </w:t>
      </w:r>
      <w:r w:rsidRPr="00202AEC">
        <w:t>différences individuelles</w:t>
      </w:r>
      <w:r w:rsidR="00DA022D">
        <w:t xml:space="preserve"> notables dans la reproduction phonétique de sons non familiers</w:t>
      </w:r>
      <w:r w:rsidRPr="00202AEC">
        <w:t xml:space="preserve">. Ces variations sont efficacement capturées par la complémentarité des trois indices </w:t>
      </w:r>
      <w:r w:rsidR="00DA022D">
        <w:t>de compliance</w:t>
      </w:r>
      <w:r w:rsidRPr="00202AEC">
        <w:t xml:space="preserve">, </w:t>
      </w:r>
      <w:r w:rsidR="00DA022D">
        <w:t>qui offrent</w:t>
      </w:r>
      <w:r w:rsidRPr="00202AEC">
        <w:t xml:space="preserve"> une vision multidimensionnelle des performances. </w:t>
      </w:r>
      <w:r w:rsidR="00DA022D">
        <w:t>L</w:t>
      </w:r>
      <w:r w:rsidRPr="00202AEC">
        <w:t>es résultats</w:t>
      </w:r>
      <w:r w:rsidR="00DA022D">
        <w:t xml:space="preserve"> obtenus</w:t>
      </w:r>
      <w:r w:rsidRPr="00202AEC">
        <w:t xml:space="preserve"> soulignent l’importance de considérer les spécificités individuelles dans l’évaluation et l’enseignement phonétique en L2, tout en confirmant la pertinence d’un tel dispositif dans un cadre expérimental rigoureux pour une analyse </w:t>
      </w:r>
      <w:r w:rsidR="006E0163" w:rsidRPr="00202AEC">
        <w:t>adéquate</w:t>
      </w:r>
      <w:r w:rsidRPr="00202AEC">
        <w:t xml:space="preserve"> des capacités phonologiques.</w:t>
      </w:r>
    </w:p>
    <w:p w14:paraId="7C3E6EC1" w14:textId="1E1968E6" w:rsidR="00FE0B6F" w:rsidRPr="00202AEC" w:rsidRDefault="00FE0B6F" w:rsidP="00523012">
      <w:pPr>
        <w:snapToGrid w:val="0"/>
        <w:spacing w:line="360" w:lineRule="auto"/>
        <w:contextualSpacing/>
        <w:jc w:val="both"/>
      </w:pPr>
      <w:r>
        <w:t xml:space="preserve">Au-delà de ces résultats, ce travail met en évidence l’intérêt de la notion de compliance phonique comme outil d’articulation entre phonétique expérimentale et didactique des langues. </w:t>
      </w:r>
      <w:r w:rsidR="008B4CD7">
        <w:t>En fournissant un indicateur opérationnel des ressources initiales des apprenants, elle permet de mieux caractériser la variabilité interindividuelle et ouvre des perspectives pour une prise en compte plus systématique de celle-ci dans les pratiques d’enseignement de la prononciation.</w:t>
      </w:r>
    </w:p>
    <w:p w14:paraId="01E86D04" w14:textId="77777777" w:rsidR="00AA07A2" w:rsidRPr="00202AEC" w:rsidRDefault="00AA07A2" w:rsidP="00DF24FC">
      <w:pPr>
        <w:snapToGrid w:val="0"/>
        <w:spacing w:line="360" w:lineRule="auto"/>
        <w:contextualSpacing/>
        <w:jc w:val="both"/>
        <w:rPr>
          <w:b/>
          <w:bCs/>
        </w:rPr>
      </w:pPr>
    </w:p>
    <w:p w14:paraId="60C5CE27" w14:textId="77777777" w:rsidR="00FA62B8" w:rsidRPr="00B922CD" w:rsidRDefault="00FA62B8" w:rsidP="00FA62B8">
      <w:pPr>
        <w:snapToGrid w:val="0"/>
        <w:spacing w:line="360" w:lineRule="auto"/>
        <w:contextualSpacing/>
        <w:jc w:val="both"/>
      </w:pPr>
    </w:p>
    <w:p w14:paraId="1F82A53B" w14:textId="77777777" w:rsidR="00FA62B8" w:rsidRDefault="00FA62B8" w:rsidP="00FA62B8">
      <w:pPr>
        <w:pStyle w:val="Paragraphedeliste"/>
        <w:numPr>
          <w:ilvl w:val="0"/>
          <w:numId w:val="1"/>
        </w:numPr>
        <w:tabs>
          <w:tab w:val="left" w:pos="993"/>
          <w:tab w:val="left" w:pos="1418"/>
        </w:tabs>
        <w:spacing w:line="360" w:lineRule="auto"/>
        <w:jc w:val="both"/>
        <w:rPr>
          <w:b/>
          <w:bCs/>
        </w:rPr>
      </w:pPr>
      <w:r w:rsidRPr="0001780A">
        <w:rPr>
          <w:b/>
          <w:bCs/>
        </w:rPr>
        <w:t>Références bibliographiques</w:t>
      </w:r>
    </w:p>
    <w:p w14:paraId="720993F5" w14:textId="77777777" w:rsidR="00FA62B8" w:rsidRPr="00D150E0" w:rsidRDefault="00FA62B8" w:rsidP="00FA62B8">
      <w:pPr>
        <w:pStyle w:val="Paragraphedeliste"/>
        <w:spacing w:line="360" w:lineRule="auto"/>
        <w:ind w:left="426" w:hanging="426"/>
        <w:jc w:val="both"/>
        <w:rPr>
          <w:b/>
          <w:bCs/>
          <w:color w:val="000000" w:themeColor="text1"/>
        </w:rPr>
      </w:pPr>
    </w:p>
    <w:p w14:paraId="747E21CD" w14:textId="77777777" w:rsidR="00FA62B8" w:rsidRPr="00B0037C" w:rsidRDefault="00FA62B8" w:rsidP="003A453A">
      <w:pPr>
        <w:snapToGrid w:val="0"/>
        <w:spacing w:line="360" w:lineRule="auto"/>
        <w:contextualSpacing/>
        <w:jc w:val="both"/>
        <w:rPr>
          <w:color w:val="000000" w:themeColor="text1"/>
          <w:lang w:val="en-US"/>
        </w:rPr>
      </w:pPr>
      <w:r w:rsidRPr="00441DA5">
        <w:rPr>
          <w:lang w:val="en-US"/>
        </w:rPr>
        <w:t xml:space="preserve">As Sabiq, A. H., Arwi, S. H., Khusna, A., Adifia, D. U. S., &amp; Nada, D. Z. Q. (2021). Investigating gender differences on the students’ attitudes and motivation toward English learning. </w:t>
      </w:r>
      <w:r w:rsidRPr="00441DA5">
        <w:rPr>
          <w:rStyle w:val="Accentuation"/>
          <w:lang w:val="en-US"/>
        </w:rPr>
        <w:t>ENGLISH FRANCA: Academic Journal of English Language and Education, 5</w:t>
      </w:r>
      <w:r w:rsidRPr="00441DA5">
        <w:rPr>
          <w:lang w:val="en-US"/>
        </w:rPr>
        <w:t>(2), 233–258.</w:t>
      </w:r>
      <w:r w:rsidRPr="00441DA5">
        <w:rPr>
          <w:color w:val="000000" w:themeColor="text1"/>
          <w:lang w:val="en-US"/>
        </w:rPr>
        <w:t xml:space="preserve"> </w:t>
      </w:r>
      <w:hyperlink r:id="rId17" w:tgtFrame="_new" w:history="1">
        <w:r w:rsidRPr="00441DA5">
          <w:rPr>
            <w:rStyle w:val="Lienhypertexte"/>
            <w:color w:val="000000" w:themeColor="text1"/>
            <w:u w:val="none"/>
            <w:lang w:val="en-US"/>
          </w:rPr>
          <w:t>https://doi.org/10.29240/ef.v5i2.2704</w:t>
        </w:r>
      </w:hyperlink>
    </w:p>
    <w:p w14:paraId="25E3A2CC" w14:textId="77777777" w:rsidR="00FA62B8" w:rsidRPr="00441DA5" w:rsidRDefault="00FA62B8" w:rsidP="003A453A">
      <w:pPr>
        <w:snapToGrid w:val="0"/>
        <w:spacing w:line="360" w:lineRule="auto"/>
        <w:contextualSpacing/>
        <w:jc w:val="both"/>
        <w:rPr>
          <w:color w:val="000000" w:themeColor="text1"/>
        </w:rPr>
      </w:pPr>
      <w:r w:rsidRPr="00441DA5">
        <w:rPr>
          <w:color w:val="000000" w:themeColor="text1"/>
          <w:lang w:val="en-US"/>
        </w:rPr>
        <w:t xml:space="preserve">Bakkouche, L., &amp; Saito, K. (2025). Effects of auditory processing, memory, and experience on early and later stages of second language speech learning. </w:t>
      </w:r>
      <w:r w:rsidRPr="00441DA5">
        <w:rPr>
          <w:i/>
          <w:iCs/>
          <w:color w:val="000000" w:themeColor="text1"/>
        </w:rPr>
        <w:t>Second Language Research</w:t>
      </w:r>
      <w:r w:rsidRPr="00441DA5">
        <w:rPr>
          <w:color w:val="000000" w:themeColor="text1"/>
        </w:rPr>
        <w:t xml:space="preserve">. Advance online publication. </w:t>
      </w:r>
      <w:hyperlink r:id="rId18" w:tgtFrame="_new" w:history="1">
        <w:r w:rsidRPr="00441DA5">
          <w:rPr>
            <w:color w:val="000000" w:themeColor="text1"/>
          </w:rPr>
          <w:t>https://doi.org/10.1177/02676583251317909</w:t>
        </w:r>
      </w:hyperlink>
    </w:p>
    <w:p w14:paraId="28E92030" w14:textId="2CC6E5D6" w:rsidR="00FA62B8" w:rsidRPr="00441DA5" w:rsidRDefault="00FA62B8" w:rsidP="003A453A">
      <w:pPr>
        <w:snapToGrid w:val="0"/>
        <w:spacing w:line="360" w:lineRule="auto"/>
        <w:contextualSpacing/>
        <w:jc w:val="both"/>
        <w:rPr>
          <w:color w:val="000000" w:themeColor="text1"/>
        </w:rPr>
      </w:pPr>
      <w:r w:rsidRPr="00441DA5">
        <w:rPr>
          <w:color w:val="000000" w:themeColor="text1"/>
          <w:lang w:val="en-US"/>
        </w:rPr>
        <w:t xml:space="preserve">Best, C. T. (1995). A direct realist view of cross-language speech perception. </w:t>
      </w:r>
      <w:r w:rsidR="002809FF">
        <w:rPr>
          <w:color w:val="000000" w:themeColor="text1"/>
          <w:lang w:val="en-US"/>
        </w:rPr>
        <w:t>Dans</w:t>
      </w:r>
      <w:r w:rsidRPr="00441DA5">
        <w:rPr>
          <w:color w:val="000000" w:themeColor="text1"/>
          <w:lang w:val="en-US"/>
        </w:rPr>
        <w:t xml:space="preserve"> W. Strange (</w:t>
      </w:r>
      <w:r w:rsidR="002809FF">
        <w:rPr>
          <w:color w:val="000000" w:themeColor="text1"/>
          <w:lang w:val="en-US"/>
        </w:rPr>
        <w:t>dir</w:t>
      </w:r>
      <w:r w:rsidRPr="00441DA5">
        <w:rPr>
          <w:color w:val="000000" w:themeColor="text1"/>
          <w:lang w:val="en-US"/>
        </w:rPr>
        <w:t>.),</w:t>
      </w:r>
      <w:r w:rsidRPr="00441DA5">
        <w:rPr>
          <w:rStyle w:val="apple-converted-space"/>
          <w:color w:val="000000" w:themeColor="text1"/>
          <w:lang w:val="en-US"/>
        </w:rPr>
        <w:t> </w:t>
      </w:r>
      <w:r w:rsidRPr="00441DA5">
        <w:rPr>
          <w:rStyle w:val="Accentuation"/>
          <w:color w:val="000000" w:themeColor="text1"/>
          <w:lang w:val="en-US"/>
        </w:rPr>
        <w:t>Speech perception and linguistic experience: Issues in cross-language research</w:t>
      </w:r>
      <w:r w:rsidRPr="00441DA5">
        <w:rPr>
          <w:rStyle w:val="apple-converted-space"/>
          <w:color w:val="000000" w:themeColor="text1"/>
          <w:lang w:val="en-US"/>
        </w:rPr>
        <w:t> </w:t>
      </w:r>
      <w:r w:rsidRPr="00441DA5">
        <w:rPr>
          <w:color w:val="000000" w:themeColor="text1"/>
          <w:lang w:val="en-US"/>
        </w:rPr>
        <w:t xml:space="preserve">(pp. 171-204). </w:t>
      </w:r>
      <w:r w:rsidRPr="00441DA5">
        <w:rPr>
          <w:color w:val="000000" w:themeColor="text1"/>
        </w:rPr>
        <w:t>York Press.</w:t>
      </w:r>
    </w:p>
    <w:p w14:paraId="12848E22" w14:textId="3BB51B33"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Best, C. T., &amp; Tyler, M. D. (2007). Nonnative and second-language speech perception: Commonalities and complementarities. </w:t>
      </w:r>
      <w:r w:rsidR="002809FF">
        <w:rPr>
          <w:color w:val="000000" w:themeColor="text1"/>
          <w:lang w:val="en-US"/>
        </w:rPr>
        <w:t>Dans</w:t>
      </w:r>
      <w:r w:rsidRPr="00D150E0">
        <w:rPr>
          <w:color w:val="000000" w:themeColor="text1"/>
          <w:lang w:val="en-US"/>
        </w:rPr>
        <w:t xml:space="preserve"> M. J. Munro &amp; O.-S. Bohn (</w:t>
      </w:r>
      <w:r w:rsidR="002809FF">
        <w:rPr>
          <w:color w:val="000000" w:themeColor="text1"/>
          <w:lang w:val="en-US"/>
        </w:rPr>
        <w:t>dirs</w:t>
      </w:r>
      <w:r w:rsidRPr="00D150E0">
        <w:rPr>
          <w:color w:val="000000" w:themeColor="text1"/>
          <w:lang w:val="en-US"/>
        </w:rPr>
        <w:t>.),</w:t>
      </w:r>
      <w:r w:rsidRPr="00D150E0">
        <w:rPr>
          <w:rStyle w:val="apple-converted-space"/>
          <w:color w:val="000000" w:themeColor="text1"/>
          <w:lang w:val="en-US"/>
        </w:rPr>
        <w:t> </w:t>
      </w:r>
      <w:r w:rsidRPr="00D150E0">
        <w:rPr>
          <w:rStyle w:val="Accentuation"/>
          <w:color w:val="000000" w:themeColor="text1"/>
          <w:lang w:val="en-US"/>
        </w:rPr>
        <w:t>Second language speech learning: The role of language experience in speech perception and production</w:t>
      </w:r>
      <w:r w:rsidRPr="00D150E0">
        <w:rPr>
          <w:rStyle w:val="apple-converted-space"/>
          <w:color w:val="000000" w:themeColor="text1"/>
          <w:lang w:val="en-US"/>
        </w:rPr>
        <w:t> </w:t>
      </w:r>
      <w:r w:rsidRPr="00D150E0">
        <w:rPr>
          <w:color w:val="000000" w:themeColor="text1"/>
          <w:lang w:val="en-US"/>
        </w:rPr>
        <w:t xml:space="preserve">(pp. 13-24). </w:t>
      </w:r>
      <w:r w:rsidRPr="00D150E0">
        <w:rPr>
          <w:color w:val="000000" w:themeColor="text1"/>
        </w:rPr>
        <w:t>John Benjamins.</w:t>
      </w:r>
    </w:p>
    <w:p w14:paraId="56C6D015" w14:textId="1BC2D0A4" w:rsidR="008B5A08" w:rsidRPr="008B5A08" w:rsidRDefault="00FA62B8" w:rsidP="003A453A">
      <w:pPr>
        <w:snapToGrid w:val="0"/>
        <w:spacing w:line="360" w:lineRule="auto"/>
        <w:contextualSpacing/>
        <w:jc w:val="both"/>
        <w:rPr>
          <w:color w:val="000000" w:themeColor="text1"/>
        </w:rPr>
      </w:pPr>
      <w:r w:rsidRPr="00D150E0">
        <w:rPr>
          <w:color w:val="000000" w:themeColor="text1"/>
        </w:rPr>
        <w:lastRenderedPageBreak/>
        <w:t xml:space="preserve">Bowles, A. R., Chang, C. B., &amp; Karuzis, V. P. (2016). </w:t>
      </w:r>
      <w:r w:rsidRPr="00D150E0">
        <w:rPr>
          <w:color w:val="000000" w:themeColor="text1"/>
          <w:lang w:val="en-US"/>
        </w:rPr>
        <w:t xml:space="preserve">Pitch ability as an aptitude for tone learning. </w:t>
      </w:r>
      <w:r w:rsidRPr="00D150E0">
        <w:rPr>
          <w:rStyle w:val="Accentuation"/>
          <w:color w:val="000000" w:themeColor="text1"/>
        </w:rPr>
        <w:t>Language Learning, 66</w:t>
      </w:r>
      <w:r w:rsidRPr="00D150E0">
        <w:rPr>
          <w:color w:val="000000" w:themeColor="text1"/>
        </w:rPr>
        <w:t xml:space="preserve">(4), 774-808. </w:t>
      </w:r>
      <w:hyperlink r:id="rId19" w:history="1">
        <w:r w:rsidR="008B5A08" w:rsidRPr="008B5A08">
          <w:rPr>
            <w:rStyle w:val="Lienhypertexte"/>
            <w:color w:val="000000" w:themeColor="text1"/>
            <w:u w:val="none"/>
          </w:rPr>
          <w:t>https://doi.org/10.1111/lang.12159</w:t>
        </w:r>
      </w:hyperlink>
    </w:p>
    <w:p w14:paraId="6BE30896" w14:textId="2674379B" w:rsidR="008B5A08" w:rsidRPr="008B5A08" w:rsidRDefault="008B5A08" w:rsidP="003A453A">
      <w:pPr>
        <w:snapToGrid w:val="0"/>
        <w:spacing w:line="360" w:lineRule="auto"/>
        <w:contextualSpacing/>
        <w:jc w:val="both"/>
        <w:rPr>
          <w:color w:val="000000" w:themeColor="text1"/>
        </w:rPr>
      </w:pPr>
      <w:r w:rsidRPr="008B5A08">
        <w:rPr>
          <w:color w:val="000000" w:themeColor="text1"/>
          <w:lang w:val="en-US"/>
        </w:rPr>
        <w:t xml:space="preserve">Brown Nielson, K., &amp; DeKeyser, R. (2019). Working memory and planning time as predictors of fluency and accuracy. </w:t>
      </w:r>
      <w:r w:rsidRPr="008B5A08">
        <w:rPr>
          <w:rStyle w:val="Accentuation"/>
          <w:rFonts w:eastAsiaTheme="majorEastAsia"/>
          <w:color w:val="000000" w:themeColor="text1"/>
          <w:lang w:val="en-US"/>
        </w:rPr>
        <w:t>Journal of Second Language Studies, 2</w:t>
      </w:r>
      <w:r w:rsidRPr="008B5A08">
        <w:rPr>
          <w:color w:val="000000" w:themeColor="text1"/>
          <w:lang w:val="en-US"/>
        </w:rPr>
        <w:t xml:space="preserve">(2), 281–316. </w:t>
      </w:r>
      <w:hyperlink r:id="rId20" w:tgtFrame="_new" w:history="1">
        <w:r w:rsidRPr="008B5A08">
          <w:rPr>
            <w:rStyle w:val="Lienhypertexte"/>
            <w:rFonts w:eastAsiaTheme="majorEastAsia"/>
            <w:color w:val="000000" w:themeColor="text1"/>
            <w:u w:val="none"/>
            <w:lang w:val="en-US"/>
          </w:rPr>
          <w:t>https://doi.org/10.1075/jsls.19004.bro</w:t>
        </w:r>
      </w:hyperlink>
    </w:p>
    <w:p w14:paraId="6E6C8B26" w14:textId="604A8D01" w:rsidR="00FA62B8" w:rsidRPr="00427876" w:rsidRDefault="00FA62B8" w:rsidP="003A453A">
      <w:pPr>
        <w:snapToGrid w:val="0"/>
        <w:spacing w:line="360" w:lineRule="auto"/>
        <w:contextualSpacing/>
        <w:jc w:val="both"/>
        <w:rPr>
          <w:color w:val="000000" w:themeColor="text1"/>
          <w:lang w:val="en-US"/>
        </w:rPr>
      </w:pPr>
      <w:r w:rsidRPr="00D150E0">
        <w:rPr>
          <w:color w:val="000000" w:themeColor="text1"/>
          <w:lang w:val="nl-BE"/>
        </w:rPr>
        <w:t xml:space="preserve">Bui, G., Skehan, P., &amp; Wang, Z. (2018). </w:t>
      </w:r>
      <w:r w:rsidRPr="00D150E0">
        <w:rPr>
          <w:color w:val="000000" w:themeColor="text1"/>
          <w:lang w:val="en-US"/>
        </w:rPr>
        <w:t xml:space="preserve">Task condition effects on advanced-level foreign language performance. </w:t>
      </w:r>
      <w:r w:rsidR="002809FF">
        <w:rPr>
          <w:color w:val="000000" w:themeColor="text1"/>
          <w:lang w:val="en-US"/>
        </w:rPr>
        <w:t>Dans</w:t>
      </w:r>
      <w:r w:rsidRPr="00D150E0">
        <w:rPr>
          <w:color w:val="000000" w:themeColor="text1"/>
          <w:lang w:val="en-US"/>
        </w:rPr>
        <w:t xml:space="preserve"> H. Byrnes &amp; R. M. Manchón (</w:t>
      </w:r>
      <w:r w:rsidR="002809FF">
        <w:rPr>
          <w:color w:val="000000" w:themeColor="text1"/>
          <w:lang w:val="en-US"/>
        </w:rPr>
        <w:t>dirs</w:t>
      </w:r>
      <w:r w:rsidRPr="00D150E0">
        <w:rPr>
          <w:color w:val="000000" w:themeColor="text1"/>
          <w:lang w:val="en-US"/>
        </w:rPr>
        <w:t>.),</w:t>
      </w:r>
      <w:r w:rsidRPr="00D150E0">
        <w:rPr>
          <w:rStyle w:val="apple-converted-space"/>
          <w:color w:val="000000" w:themeColor="text1"/>
          <w:lang w:val="en-US"/>
        </w:rPr>
        <w:t> </w:t>
      </w:r>
      <w:r w:rsidRPr="00D150E0">
        <w:rPr>
          <w:rStyle w:val="Accentuation"/>
          <w:color w:val="000000" w:themeColor="text1"/>
          <w:lang w:val="en-US"/>
        </w:rPr>
        <w:t>The handbook of advanced proficiency in second language acquisition</w:t>
      </w:r>
      <w:r w:rsidRPr="00D150E0">
        <w:rPr>
          <w:rStyle w:val="apple-converted-space"/>
          <w:color w:val="000000" w:themeColor="text1"/>
          <w:lang w:val="en-US"/>
        </w:rPr>
        <w:t> </w:t>
      </w:r>
      <w:r w:rsidRPr="00D150E0">
        <w:rPr>
          <w:color w:val="000000" w:themeColor="text1"/>
          <w:lang w:val="en-US"/>
        </w:rPr>
        <w:t xml:space="preserve">(pp. 219-237). </w:t>
      </w:r>
      <w:r w:rsidRPr="00427876">
        <w:rPr>
          <w:color w:val="000000" w:themeColor="text1"/>
          <w:lang w:val="en-US"/>
        </w:rPr>
        <w:t xml:space="preserve">Wiley. </w:t>
      </w:r>
      <w:hyperlink r:id="rId21" w:history="1">
        <w:r w:rsidRPr="00427876">
          <w:rPr>
            <w:rStyle w:val="Lienhypertexte"/>
            <w:color w:val="000000" w:themeColor="text1"/>
            <w:u w:val="none"/>
            <w:lang w:val="en-US"/>
          </w:rPr>
          <w:t>https://doi.org/10.1002/9781119261650.ch12</w:t>
        </w:r>
      </w:hyperlink>
    </w:p>
    <w:p w14:paraId="55232D1D" w14:textId="77777777" w:rsidR="00FA62B8" w:rsidRPr="00CB322C" w:rsidRDefault="00FA62B8" w:rsidP="003A453A">
      <w:pPr>
        <w:snapToGrid w:val="0"/>
        <w:spacing w:line="360" w:lineRule="auto"/>
        <w:contextualSpacing/>
        <w:jc w:val="both"/>
        <w:rPr>
          <w:color w:val="000000" w:themeColor="text1"/>
          <w:lang w:val="en-US"/>
        </w:rPr>
      </w:pPr>
      <w:r w:rsidRPr="00CB322C">
        <w:rPr>
          <w:lang w:val="en-US"/>
        </w:rPr>
        <w:t xml:space="preserve">Chládková, K., &amp; Escudero, P. (2012). Comparing vowel perception and production in Spanish and Portuguese: European versus Latin American dialects. </w:t>
      </w:r>
      <w:r w:rsidRPr="00CB322C">
        <w:rPr>
          <w:i/>
          <w:iCs/>
          <w:lang w:val="en-US"/>
        </w:rPr>
        <w:t>The Journal of the Acoustical Society of America, 131</w:t>
      </w:r>
      <w:r w:rsidRPr="00CB322C">
        <w:rPr>
          <w:lang w:val="en-US"/>
        </w:rPr>
        <w:t>(2), EL119–EL125. https://doi.org/10.1121/1.3674991</w:t>
      </w:r>
    </w:p>
    <w:p w14:paraId="41868920" w14:textId="77777777" w:rsidR="00FA62B8" w:rsidRPr="003A453A" w:rsidRDefault="00FA62B8" w:rsidP="003A453A">
      <w:pPr>
        <w:snapToGrid w:val="0"/>
        <w:spacing w:line="360" w:lineRule="auto"/>
        <w:jc w:val="both"/>
        <w:rPr>
          <w:color w:val="000000" w:themeColor="text1"/>
        </w:rPr>
      </w:pPr>
      <w:r w:rsidRPr="003A453A">
        <w:rPr>
          <w:color w:val="000000" w:themeColor="text1"/>
          <w:lang w:val="en-US"/>
        </w:rPr>
        <w:t xml:space="preserve">Dancey, C. P., &amp; Reidy, J. (2004). </w:t>
      </w:r>
      <w:r w:rsidRPr="003A453A">
        <w:rPr>
          <w:rStyle w:val="Accentuation"/>
          <w:color w:val="000000" w:themeColor="text1"/>
          <w:lang w:val="en-US"/>
        </w:rPr>
        <w:t>Statistics without maths for psychology: Using SPSS for Windows</w:t>
      </w:r>
      <w:r w:rsidRPr="003A453A">
        <w:rPr>
          <w:color w:val="000000" w:themeColor="text1"/>
          <w:lang w:val="en-US"/>
        </w:rPr>
        <w:t xml:space="preserve"> (3</w:t>
      </w:r>
      <w:r w:rsidRPr="003A453A">
        <w:rPr>
          <w:color w:val="000000" w:themeColor="text1"/>
        </w:rPr>
        <w:t>ᵉ</w:t>
      </w:r>
      <w:r w:rsidRPr="003A453A">
        <w:rPr>
          <w:color w:val="000000" w:themeColor="text1"/>
          <w:lang w:val="en-US"/>
        </w:rPr>
        <w:t xml:space="preserve"> éd.). </w:t>
      </w:r>
      <w:r w:rsidRPr="003A453A">
        <w:rPr>
          <w:color w:val="000000" w:themeColor="text1"/>
        </w:rPr>
        <w:t>Pearson/Prentice Hall.</w:t>
      </w:r>
    </w:p>
    <w:p w14:paraId="6147776D" w14:textId="7601AB16" w:rsidR="00FA62B8" w:rsidRPr="003B69A5" w:rsidRDefault="00FA62B8" w:rsidP="003A453A">
      <w:pPr>
        <w:snapToGrid w:val="0"/>
        <w:spacing w:line="360" w:lineRule="auto"/>
        <w:contextualSpacing/>
        <w:jc w:val="both"/>
        <w:rPr>
          <w:color w:val="000000" w:themeColor="text1"/>
          <w:lang w:val="en-US"/>
        </w:rPr>
      </w:pPr>
      <w:r w:rsidRPr="00D150E0">
        <w:rPr>
          <w:color w:val="000000" w:themeColor="text1"/>
          <w:lang w:val="nl-BE"/>
        </w:rPr>
        <w:t xml:space="preserve">DeKeyser, R. M., &amp; Koeth, J. (2011). </w:t>
      </w:r>
      <w:r w:rsidRPr="00D150E0">
        <w:rPr>
          <w:color w:val="000000" w:themeColor="text1"/>
          <w:lang w:val="en-US"/>
        </w:rPr>
        <w:t xml:space="preserve">Cognitive aptitudes for second language learning. </w:t>
      </w:r>
      <w:r w:rsidR="002809FF">
        <w:rPr>
          <w:color w:val="000000" w:themeColor="text1"/>
          <w:lang w:val="en-US"/>
        </w:rPr>
        <w:t xml:space="preserve">Dans </w:t>
      </w:r>
      <w:r w:rsidRPr="00D150E0">
        <w:rPr>
          <w:color w:val="000000" w:themeColor="text1"/>
          <w:lang w:val="en-US"/>
        </w:rPr>
        <w:t>E. Hinkel (</w:t>
      </w:r>
      <w:r w:rsidR="002809FF">
        <w:rPr>
          <w:color w:val="000000" w:themeColor="text1"/>
          <w:lang w:val="en-US"/>
        </w:rPr>
        <w:t>dir</w:t>
      </w:r>
      <w:r w:rsidRPr="00D150E0">
        <w:rPr>
          <w:color w:val="000000" w:themeColor="text1"/>
          <w:lang w:val="en-US"/>
        </w:rPr>
        <w:t>.),</w:t>
      </w:r>
      <w:r w:rsidRPr="00D150E0">
        <w:rPr>
          <w:rStyle w:val="apple-converted-space"/>
          <w:color w:val="000000" w:themeColor="text1"/>
          <w:lang w:val="en-US"/>
        </w:rPr>
        <w:t> </w:t>
      </w:r>
      <w:r w:rsidRPr="00D150E0">
        <w:rPr>
          <w:rStyle w:val="Accentuation"/>
          <w:color w:val="000000" w:themeColor="text1"/>
          <w:lang w:val="en-US"/>
        </w:rPr>
        <w:t>Handbook of research in second language teaching and learning</w:t>
      </w:r>
      <w:r w:rsidRPr="00D150E0">
        <w:rPr>
          <w:rStyle w:val="apple-converted-space"/>
          <w:color w:val="000000" w:themeColor="text1"/>
          <w:lang w:val="en-US"/>
        </w:rPr>
        <w:t> </w:t>
      </w:r>
      <w:r w:rsidRPr="00D150E0">
        <w:rPr>
          <w:color w:val="000000" w:themeColor="text1"/>
          <w:lang w:val="en-US"/>
        </w:rPr>
        <w:t>(</w:t>
      </w:r>
      <w:r>
        <w:rPr>
          <w:color w:val="000000" w:themeColor="text1"/>
          <w:lang w:val="en-US"/>
        </w:rPr>
        <w:t xml:space="preserve">Vol.2, </w:t>
      </w:r>
      <w:r w:rsidRPr="00D150E0">
        <w:rPr>
          <w:color w:val="000000" w:themeColor="text1"/>
          <w:lang w:val="en-US"/>
        </w:rPr>
        <w:t xml:space="preserve">pp. 395-407). </w:t>
      </w:r>
      <w:r w:rsidRPr="003B69A5">
        <w:rPr>
          <w:color w:val="000000" w:themeColor="text1"/>
          <w:lang w:val="en-US"/>
        </w:rPr>
        <w:t xml:space="preserve">Routledge. </w:t>
      </w:r>
    </w:p>
    <w:p w14:paraId="0DBD7288" w14:textId="59CF875B" w:rsidR="00FA62B8" w:rsidRPr="00D150E0" w:rsidRDefault="00FA62B8" w:rsidP="003A453A">
      <w:pPr>
        <w:snapToGrid w:val="0"/>
        <w:spacing w:line="360" w:lineRule="auto"/>
        <w:contextualSpacing/>
        <w:jc w:val="both"/>
        <w:rPr>
          <w:color w:val="000000" w:themeColor="text1"/>
        </w:rPr>
      </w:pPr>
      <w:r w:rsidRPr="00D150E0">
        <w:rPr>
          <w:color w:val="000000" w:themeColor="text1"/>
        </w:rPr>
        <w:t>Delvaux, V., Huet, K., Piccaluga, M., &amp; Harmegnies, B. (2008). Modelage perceptuel du contrôle de la matière phonique en L2</w:t>
      </w:r>
      <w:r w:rsidR="00BF51ED">
        <w:rPr>
          <w:color w:val="000000" w:themeColor="text1"/>
        </w:rPr>
        <w:t xml:space="preserve"> </w:t>
      </w:r>
      <w:r w:rsidRPr="00D150E0">
        <w:rPr>
          <w:color w:val="000000" w:themeColor="text1"/>
        </w:rPr>
        <w:t>: Variabilité interindividuelle.</w:t>
      </w:r>
      <w:r w:rsidRPr="00D150E0">
        <w:rPr>
          <w:rStyle w:val="apple-converted-space"/>
          <w:color w:val="000000" w:themeColor="text1"/>
        </w:rPr>
        <w:t> </w:t>
      </w:r>
      <w:r w:rsidRPr="00D150E0">
        <w:rPr>
          <w:rStyle w:val="Accentuation"/>
          <w:color w:val="000000" w:themeColor="text1"/>
        </w:rPr>
        <w:t>XXVIIe Journées d’Étude sur la Parole</w:t>
      </w:r>
      <w:r w:rsidRPr="00D150E0">
        <w:rPr>
          <w:color w:val="000000" w:themeColor="text1"/>
        </w:rPr>
        <w:t>, 389-392.</w:t>
      </w:r>
    </w:p>
    <w:p w14:paraId="37DF8E65" w14:textId="34F62C2E" w:rsidR="00FA62B8" w:rsidRPr="00D150E0" w:rsidRDefault="00FA62B8" w:rsidP="00BF51ED">
      <w:pPr>
        <w:snapToGrid w:val="0"/>
        <w:spacing w:line="360" w:lineRule="auto"/>
        <w:contextualSpacing/>
        <w:jc w:val="both"/>
        <w:rPr>
          <w:color w:val="000000" w:themeColor="text1"/>
        </w:rPr>
      </w:pPr>
      <w:r w:rsidRPr="00D150E0">
        <w:rPr>
          <w:color w:val="000000" w:themeColor="text1"/>
        </w:rPr>
        <w:t xml:space="preserve">Delvaux, V., Huet, K., Piccaluga, M., &amp; Harmegnies, B. (2014). </w:t>
      </w:r>
      <w:r w:rsidRPr="00D150E0">
        <w:rPr>
          <w:color w:val="000000" w:themeColor="text1"/>
          <w:lang w:val="en-US"/>
        </w:rPr>
        <w:t>Phonetic compliance: A proof-of-concept study.</w:t>
      </w:r>
      <w:r w:rsidRPr="00D150E0">
        <w:rPr>
          <w:rStyle w:val="apple-converted-space"/>
          <w:color w:val="000000" w:themeColor="text1"/>
          <w:lang w:val="en-US"/>
        </w:rPr>
        <w:t> </w:t>
      </w:r>
      <w:r w:rsidRPr="00D150E0">
        <w:rPr>
          <w:rStyle w:val="Accentuation"/>
          <w:color w:val="000000" w:themeColor="text1"/>
        </w:rPr>
        <w:t>Frontiers</w:t>
      </w:r>
      <w:r w:rsidR="009C1F9C">
        <w:rPr>
          <w:rStyle w:val="Accentuation"/>
          <w:color w:val="000000" w:themeColor="text1"/>
        </w:rPr>
        <w:t xml:space="preserve"> </w:t>
      </w:r>
      <w:r w:rsidRPr="00D150E0">
        <w:rPr>
          <w:rStyle w:val="Accentuation"/>
          <w:color w:val="000000" w:themeColor="text1"/>
        </w:rPr>
        <w:t>in Psychology,</w:t>
      </w:r>
      <w:r w:rsidR="009C1F9C">
        <w:rPr>
          <w:rStyle w:val="Accentuation"/>
          <w:color w:val="000000" w:themeColor="text1"/>
        </w:rPr>
        <w:t xml:space="preserve"> </w:t>
      </w:r>
      <w:r w:rsidRPr="00D150E0">
        <w:rPr>
          <w:rStyle w:val="Accentuation"/>
          <w:color w:val="000000" w:themeColor="text1"/>
        </w:rPr>
        <w:t>5</w:t>
      </w:r>
      <w:r w:rsidRPr="00D150E0">
        <w:rPr>
          <w:color w:val="000000" w:themeColor="text1"/>
        </w:rPr>
        <w:t>, 1375.</w:t>
      </w:r>
      <w:r w:rsidR="00695372">
        <w:rPr>
          <w:color w:val="000000" w:themeColor="text1"/>
        </w:rPr>
        <w:t xml:space="preserve"> </w:t>
      </w:r>
      <w:r w:rsidRPr="00D150E0">
        <w:rPr>
          <w:color w:val="000000" w:themeColor="text1"/>
        </w:rPr>
        <w:t>https://doi.org/10.3389/fpsyg.2014.01375</w:t>
      </w:r>
    </w:p>
    <w:p w14:paraId="16667B01"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Derwing, T. M., &amp; Munro, M. J. (2005). Second language accent and pronunciation teaching: A research-based approach.</w:t>
      </w:r>
      <w:r w:rsidRPr="00D150E0">
        <w:rPr>
          <w:rStyle w:val="apple-converted-space"/>
          <w:color w:val="000000" w:themeColor="text1"/>
          <w:lang w:val="en-US"/>
        </w:rPr>
        <w:t> </w:t>
      </w:r>
      <w:r w:rsidRPr="00D150E0">
        <w:rPr>
          <w:rStyle w:val="Accentuation"/>
          <w:color w:val="000000" w:themeColor="text1"/>
        </w:rPr>
        <w:t>TESOL Quarterly, 39</w:t>
      </w:r>
      <w:r w:rsidRPr="00D150E0">
        <w:rPr>
          <w:color w:val="000000" w:themeColor="text1"/>
        </w:rPr>
        <w:t>(3), 379-397. https://doi.org/10.2307/3588486</w:t>
      </w:r>
    </w:p>
    <w:p w14:paraId="7489A5AF"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Derwing, T. M., &amp; Munro, M. J. (2015).</w:t>
      </w:r>
      <w:r w:rsidRPr="00D150E0">
        <w:rPr>
          <w:rStyle w:val="apple-converted-space"/>
          <w:color w:val="000000" w:themeColor="text1"/>
          <w:lang w:val="en-US"/>
        </w:rPr>
        <w:t> </w:t>
      </w:r>
      <w:r w:rsidRPr="00D150E0">
        <w:rPr>
          <w:rStyle w:val="Accentuation"/>
          <w:color w:val="000000" w:themeColor="text1"/>
          <w:lang w:val="en-US"/>
        </w:rPr>
        <w:t>Pronunciation fundamentals: Evidence-based perspectives for L2 teaching and research</w:t>
      </w:r>
      <w:r w:rsidRPr="00D150E0">
        <w:rPr>
          <w:color w:val="000000" w:themeColor="text1"/>
          <w:lang w:val="en-US"/>
        </w:rPr>
        <w:t xml:space="preserve">. </w:t>
      </w:r>
      <w:r w:rsidRPr="00D150E0">
        <w:rPr>
          <w:color w:val="000000" w:themeColor="text1"/>
        </w:rPr>
        <w:t>John Benjamins. https://doi.org/10.1075/lllt.42</w:t>
      </w:r>
    </w:p>
    <w:p w14:paraId="5FA61FFC" w14:textId="2D1E2DC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Flege, J. E. (1995). Second language speech learning theory, findings, and problems. </w:t>
      </w:r>
      <w:r w:rsidR="002809FF">
        <w:rPr>
          <w:color w:val="000000" w:themeColor="text1"/>
          <w:lang w:val="en-US"/>
        </w:rPr>
        <w:t>Dans</w:t>
      </w:r>
      <w:r w:rsidRPr="00D150E0">
        <w:rPr>
          <w:color w:val="000000" w:themeColor="text1"/>
          <w:lang w:val="en-US"/>
        </w:rPr>
        <w:t xml:space="preserve"> W. Strange (</w:t>
      </w:r>
      <w:r w:rsidR="002809FF">
        <w:rPr>
          <w:color w:val="000000" w:themeColor="text1"/>
          <w:lang w:val="en-US"/>
        </w:rPr>
        <w:t>dir</w:t>
      </w:r>
      <w:r w:rsidRPr="00D150E0">
        <w:rPr>
          <w:color w:val="000000" w:themeColor="text1"/>
          <w:lang w:val="en-US"/>
        </w:rPr>
        <w:t>.),</w:t>
      </w:r>
      <w:r w:rsidRPr="00D150E0">
        <w:rPr>
          <w:rStyle w:val="apple-converted-space"/>
          <w:color w:val="000000" w:themeColor="text1"/>
          <w:lang w:val="en-US"/>
        </w:rPr>
        <w:t> </w:t>
      </w:r>
      <w:r w:rsidRPr="00D150E0">
        <w:rPr>
          <w:rStyle w:val="Accentuation"/>
          <w:color w:val="000000" w:themeColor="text1"/>
          <w:lang w:val="en-US"/>
        </w:rPr>
        <w:t>Speech perception and linguistic experience: Issues in cross-language research</w:t>
      </w:r>
      <w:r w:rsidRPr="00D150E0">
        <w:rPr>
          <w:rStyle w:val="apple-converted-space"/>
          <w:color w:val="000000" w:themeColor="text1"/>
          <w:lang w:val="en-US"/>
        </w:rPr>
        <w:t> </w:t>
      </w:r>
      <w:r w:rsidRPr="00D150E0">
        <w:rPr>
          <w:color w:val="000000" w:themeColor="text1"/>
          <w:lang w:val="en-US"/>
        </w:rPr>
        <w:t xml:space="preserve">(pp. 233-277). </w:t>
      </w:r>
      <w:r w:rsidRPr="00D150E0">
        <w:rPr>
          <w:color w:val="000000" w:themeColor="text1"/>
        </w:rPr>
        <w:t>York Press.</w:t>
      </w:r>
    </w:p>
    <w:p w14:paraId="0325F8AB" w14:textId="29BA00B2"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Flege, J. E. (2016). The role of phonetic category formation in second language speech acquisition. </w:t>
      </w:r>
      <w:r w:rsidR="002809FF">
        <w:rPr>
          <w:color w:val="000000" w:themeColor="text1"/>
          <w:lang w:val="en-US"/>
        </w:rPr>
        <w:t>Dans</w:t>
      </w:r>
      <w:r w:rsidRPr="00D150E0">
        <w:rPr>
          <w:color w:val="000000" w:themeColor="text1"/>
          <w:lang w:val="en-US"/>
        </w:rPr>
        <w:t xml:space="preserve"> N. O. Schiller &amp; A. S. Meyer (</w:t>
      </w:r>
      <w:r w:rsidR="002809FF">
        <w:rPr>
          <w:color w:val="000000" w:themeColor="text1"/>
          <w:lang w:val="en-US"/>
        </w:rPr>
        <w:t>dirs</w:t>
      </w:r>
      <w:r w:rsidRPr="00D150E0">
        <w:rPr>
          <w:color w:val="000000" w:themeColor="text1"/>
          <w:lang w:val="en-US"/>
        </w:rPr>
        <w:t>.),</w:t>
      </w:r>
      <w:r w:rsidRPr="00D150E0">
        <w:rPr>
          <w:rStyle w:val="apple-converted-space"/>
          <w:color w:val="000000" w:themeColor="text1"/>
          <w:lang w:val="en-US"/>
        </w:rPr>
        <w:t> </w:t>
      </w:r>
      <w:r w:rsidRPr="00D150E0">
        <w:rPr>
          <w:rStyle w:val="Accentuation"/>
          <w:color w:val="000000" w:themeColor="text1"/>
          <w:lang w:val="en-US"/>
        </w:rPr>
        <w:t>Phonetics and phonology in language comprehension and production: Differences and similarities</w:t>
      </w:r>
      <w:r w:rsidRPr="00D150E0">
        <w:rPr>
          <w:rStyle w:val="apple-converted-space"/>
          <w:color w:val="000000" w:themeColor="text1"/>
          <w:lang w:val="en-US"/>
        </w:rPr>
        <w:t> </w:t>
      </w:r>
      <w:r w:rsidRPr="00D150E0">
        <w:rPr>
          <w:color w:val="000000" w:themeColor="text1"/>
          <w:lang w:val="en-US"/>
        </w:rPr>
        <w:t xml:space="preserve">(pp. 319-355). </w:t>
      </w:r>
      <w:r w:rsidRPr="00D150E0">
        <w:rPr>
          <w:color w:val="000000" w:themeColor="text1"/>
        </w:rPr>
        <w:t>Mouton de Gruyter.</w:t>
      </w:r>
    </w:p>
    <w:p w14:paraId="62C15DBC" w14:textId="3C5169C6" w:rsidR="00FA62B8" w:rsidRPr="00427876" w:rsidRDefault="00FA62B8" w:rsidP="003A453A">
      <w:pPr>
        <w:snapToGrid w:val="0"/>
        <w:spacing w:line="360" w:lineRule="auto"/>
        <w:contextualSpacing/>
        <w:jc w:val="both"/>
        <w:rPr>
          <w:color w:val="000000" w:themeColor="text1"/>
          <w:lang w:val="en-US"/>
        </w:rPr>
      </w:pPr>
      <w:r w:rsidRPr="00D150E0">
        <w:rPr>
          <w:color w:val="000000" w:themeColor="text1"/>
          <w:lang w:val="en-US"/>
        </w:rPr>
        <w:lastRenderedPageBreak/>
        <w:t xml:space="preserve">Flege, J. E., &amp; Bohn, O.-S. (2021). The revised Speech Learning Model (SLM-r). </w:t>
      </w:r>
      <w:r w:rsidR="002809FF">
        <w:t>Dans</w:t>
      </w:r>
      <w:r w:rsidRPr="00D150E0">
        <w:rPr>
          <w:color w:val="000000" w:themeColor="text1"/>
          <w:lang w:val="en-US"/>
        </w:rPr>
        <w:t xml:space="preserve"> M. Wrembel, A. Gut, &amp; D. Šima (</w:t>
      </w:r>
      <w:r w:rsidR="002809FF">
        <w:rPr>
          <w:color w:val="000000" w:themeColor="text1"/>
          <w:lang w:val="en-US"/>
        </w:rPr>
        <w:t>dirs</w:t>
      </w:r>
      <w:r w:rsidRPr="00D150E0">
        <w:rPr>
          <w:color w:val="000000" w:themeColor="text1"/>
          <w:lang w:val="en-US"/>
        </w:rPr>
        <w:t xml:space="preserve">.), </w:t>
      </w:r>
      <w:r w:rsidRPr="00D150E0">
        <w:rPr>
          <w:i/>
          <w:iCs/>
          <w:color w:val="000000" w:themeColor="text1"/>
          <w:lang w:val="en-US"/>
        </w:rPr>
        <w:t>Advances in the investigation of L2 phonological acquisition</w:t>
      </w:r>
      <w:r w:rsidRPr="00D150E0">
        <w:rPr>
          <w:color w:val="000000" w:themeColor="text1"/>
          <w:lang w:val="en-US"/>
        </w:rPr>
        <w:t xml:space="preserve"> (pp. 3–83). </w:t>
      </w:r>
      <w:r w:rsidRPr="00427876">
        <w:rPr>
          <w:color w:val="000000" w:themeColor="text1"/>
          <w:lang w:val="en-US"/>
        </w:rPr>
        <w:t>Bristol: Multilingual Matters.</w:t>
      </w:r>
    </w:p>
    <w:p w14:paraId="2F35D62F"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Flege, J., &amp; Liu, S. (2001). The effect of experience on adults’ acquisition of a second language.</w:t>
      </w:r>
      <w:r w:rsidRPr="00D150E0">
        <w:rPr>
          <w:rStyle w:val="apple-converted-space"/>
          <w:color w:val="000000" w:themeColor="text1"/>
          <w:lang w:val="en-US"/>
        </w:rPr>
        <w:t> </w:t>
      </w:r>
      <w:r w:rsidRPr="00D150E0">
        <w:rPr>
          <w:rStyle w:val="Accentuation"/>
          <w:color w:val="000000" w:themeColor="text1"/>
        </w:rPr>
        <w:t>Studies in Second Language Acquisition, 23</w:t>
      </w:r>
      <w:r w:rsidRPr="00D150E0">
        <w:rPr>
          <w:color w:val="000000" w:themeColor="text1"/>
        </w:rPr>
        <w:t>, 527-552. https://doi.org/10.1017/S0272263101004041</w:t>
      </w:r>
    </w:p>
    <w:p w14:paraId="3F668E3C" w14:textId="0DC4E8C8" w:rsidR="00FA62B8" w:rsidRPr="002809FF" w:rsidRDefault="00FA62B8" w:rsidP="003A453A">
      <w:pPr>
        <w:snapToGrid w:val="0"/>
        <w:spacing w:line="360" w:lineRule="auto"/>
        <w:contextualSpacing/>
        <w:jc w:val="both"/>
        <w:rPr>
          <w:color w:val="000000" w:themeColor="text1"/>
        </w:rPr>
      </w:pPr>
      <w:r w:rsidRPr="00D150E0">
        <w:rPr>
          <w:color w:val="000000" w:themeColor="text1"/>
          <w:lang w:val="en-US"/>
        </w:rPr>
        <w:t xml:space="preserve">Flege, J. G., &amp; MacKay, I. R. A. (2011). What accounts for “age” effects on overall degree of foreign accent? </w:t>
      </w:r>
      <w:r w:rsidR="002809FF">
        <w:rPr>
          <w:color w:val="000000" w:themeColor="text1"/>
          <w:lang w:val="en-US"/>
        </w:rPr>
        <w:t>Dans</w:t>
      </w:r>
      <w:r w:rsidRPr="00D150E0">
        <w:rPr>
          <w:color w:val="000000" w:themeColor="text1"/>
          <w:lang w:val="en-US"/>
        </w:rPr>
        <w:t xml:space="preserve"> M. Wrembel, M. Kul, &amp; K. Dziubalska-Kolaczyk (</w:t>
      </w:r>
      <w:r w:rsidR="002809FF">
        <w:rPr>
          <w:color w:val="000000" w:themeColor="text1"/>
          <w:lang w:val="en-US"/>
        </w:rPr>
        <w:t>dirs</w:t>
      </w:r>
      <w:r w:rsidRPr="00D150E0">
        <w:rPr>
          <w:color w:val="000000" w:themeColor="text1"/>
          <w:lang w:val="en-US"/>
        </w:rPr>
        <w:t>.),</w:t>
      </w:r>
      <w:r w:rsidRPr="00D150E0">
        <w:rPr>
          <w:rStyle w:val="apple-converted-space"/>
          <w:color w:val="000000" w:themeColor="text1"/>
          <w:lang w:val="en-US"/>
        </w:rPr>
        <w:t> </w:t>
      </w:r>
      <w:r w:rsidRPr="00D150E0">
        <w:rPr>
          <w:rStyle w:val="Accentuation"/>
          <w:color w:val="000000" w:themeColor="text1"/>
          <w:lang w:val="en-US"/>
        </w:rPr>
        <w:t>Achievements and perspectives in SLA of speech: New sounds 2010</w:t>
      </w:r>
      <w:r w:rsidRPr="00D150E0">
        <w:rPr>
          <w:rStyle w:val="apple-converted-space"/>
          <w:color w:val="000000" w:themeColor="text1"/>
          <w:lang w:val="en-US"/>
        </w:rPr>
        <w:t> </w:t>
      </w:r>
      <w:r w:rsidRPr="00D150E0">
        <w:rPr>
          <w:color w:val="000000" w:themeColor="text1"/>
          <w:lang w:val="en-US"/>
        </w:rPr>
        <w:t>(</w:t>
      </w:r>
      <w:r w:rsidRPr="002809FF">
        <w:rPr>
          <w:color w:val="000000" w:themeColor="text1"/>
          <w:lang w:val="en-US"/>
        </w:rPr>
        <w:t xml:space="preserve">Vol. 2, pp. 65-82). </w:t>
      </w:r>
      <w:r w:rsidRPr="002809FF">
        <w:rPr>
          <w:color w:val="000000" w:themeColor="text1"/>
        </w:rPr>
        <w:t>Peter Lang.</w:t>
      </w:r>
    </w:p>
    <w:p w14:paraId="5C6B605F" w14:textId="08416BAD" w:rsidR="00FA62B8" w:rsidRPr="002809FF" w:rsidRDefault="00FA62B8" w:rsidP="003A453A">
      <w:pPr>
        <w:snapToGrid w:val="0"/>
        <w:spacing w:line="360" w:lineRule="auto"/>
        <w:contextualSpacing/>
        <w:jc w:val="both"/>
        <w:rPr>
          <w:color w:val="000000" w:themeColor="text1"/>
        </w:rPr>
      </w:pPr>
      <w:r w:rsidRPr="002809FF">
        <w:rPr>
          <w:color w:val="000000" w:themeColor="text1"/>
          <w:lang w:val="en-US"/>
        </w:rPr>
        <w:t xml:space="preserve">Gagné, F. (2003). Transforming gifts into talents: The DMGT as a developmental theory. </w:t>
      </w:r>
      <w:r w:rsidR="002809FF" w:rsidRPr="002809FF">
        <w:rPr>
          <w:color w:val="000000" w:themeColor="text1"/>
          <w:lang w:val="en-US"/>
        </w:rPr>
        <w:t>Dans</w:t>
      </w:r>
      <w:r w:rsidRPr="002809FF">
        <w:rPr>
          <w:color w:val="000000" w:themeColor="text1"/>
          <w:lang w:val="en-US"/>
        </w:rPr>
        <w:t xml:space="preserve"> N. Colangelo &amp; G. A. Davis (</w:t>
      </w:r>
      <w:r w:rsidR="002809FF" w:rsidRPr="002809FF">
        <w:rPr>
          <w:color w:val="000000" w:themeColor="text1"/>
          <w:lang w:val="en-US"/>
        </w:rPr>
        <w:t>dirs</w:t>
      </w:r>
      <w:r w:rsidRPr="002809FF">
        <w:rPr>
          <w:color w:val="000000" w:themeColor="text1"/>
          <w:lang w:val="en-US"/>
        </w:rPr>
        <w:t>.),</w:t>
      </w:r>
      <w:r w:rsidRPr="002809FF">
        <w:rPr>
          <w:rStyle w:val="apple-converted-space"/>
          <w:color w:val="000000" w:themeColor="text1"/>
          <w:lang w:val="en-US"/>
        </w:rPr>
        <w:t> </w:t>
      </w:r>
      <w:r w:rsidRPr="002809FF">
        <w:rPr>
          <w:rStyle w:val="Accentuation"/>
          <w:color w:val="000000" w:themeColor="text1"/>
          <w:lang w:val="en-US"/>
        </w:rPr>
        <w:t>Handbook of gifted education</w:t>
      </w:r>
      <w:r w:rsidRPr="002809FF">
        <w:rPr>
          <w:rStyle w:val="apple-converted-space"/>
          <w:color w:val="000000" w:themeColor="text1"/>
          <w:lang w:val="en-US"/>
        </w:rPr>
        <w:t> </w:t>
      </w:r>
      <w:r w:rsidRPr="002809FF">
        <w:rPr>
          <w:color w:val="000000" w:themeColor="text1"/>
          <w:lang w:val="en-US"/>
        </w:rPr>
        <w:t xml:space="preserve">(pp. 60-74). </w:t>
      </w:r>
      <w:r w:rsidRPr="002809FF">
        <w:rPr>
          <w:color w:val="000000" w:themeColor="text1"/>
        </w:rPr>
        <w:t>Allyn &amp; Bacon.</w:t>
      </w:r>
    </w:p>
    <w:p w14:paraId="1E5D0EC8" w14:textId="4C5917E3" w:rsidR="00FA62B8" w:rsidRDefault="00FA62B8" w:rsidP="003A453A">
      <w:pPr>
        <w:snapToGrid w:val="0"/>
        <w:spacing w:line="360" w:lineRule="auto"/>
        <w:contextualSpacing/>
        <w:jc w:val="both"/>
        <w:rPr>
          <w:rStyle w:val="Lienhypertexte"/>
          <w:color w:val="000000" w:themeColor="text1"/>
          <w:u w:val="none"/>
        </w:rPr>
      </w:pPr>
      <w:r w:rsidRPr="002809FF">
        <w:rPr>
          <w:lang w:val="en-US"/>
        </w:rPr>
        <w:t>Georgiou, G. P., &amp; Kaskampa, A. (2024). Differences in</w:t>
      </w:r>
      <w:r w:rsidRPr="001F40F7">
        <w:rPr>
          <w:lang w:val="en-US"/>
        </w:rPr>
        <w:t xml:space="preserve"> voice quality measures among monolingual and bilingual speakers. </w:t>
      </w:r>
      <w:r>
        <w:rPr>
          <w:rStyle w:val="Accentuation"/>
        </w:rPr>
        <w:t>Ampersand, 12</w:t>
      </w:r>
      <w:r>
        <w:t xml:space="preserve">, 100175. </w:t>
      </w:r>
      <w:hyperlink r:id="rId22" w:tgtFrame="_new" w:history="1">
        <w:r w:rsidRPr="001F40F7">
          <w:rPr>
            <w:rStyle w:val="Lienhypertexte"/>
            <w:color w:val="000000" w:themeColor="text1"/>
            <w:u w:val="none"/>
          </w:rPr>
          <w:t>https://doi.org/10.1016/j.amper.2024.100175</w:t>
        </w:r>
      </w:hyperlink>
    </w:p>
    <w:p w14:paraId="72B921AE" w14:textId="5A21BA0C" w:rsidR="00B02A1D" w:rsidRPr="00B02A1D" w:rsidRDefault="00B02A1D" w:rsidP="003A453A">
      <w:pPr>
        <w:snapToGrid w:val="0"/>
        <w:spacing w:line="360" w:lineRule="auto"/>
        <w:contextualSpacing/>
        <w:jc w:val="both"/>
        <w:rPr>
          <w:color w:val="000000" w:themeColor="text1"/>
        </w:rPr>
      </w:pPr>
      <w:r w:rsidRPr="00D463C5">
        <w:rPr>
          <w:lang w:val="en-US"/>
        </w:rPr>
        <w:t xml:space="preserve">Goeseels, E., Huet, K., Piccaluga, M., Roland, V., &amp; Delvaux, V. (2024). </w:t>
      </w:r>
      <w:r>
        <w:t xml:space="preserve">Autisme et compliance phonique. </w:t>
      </w:r>
      <w:r>
        <w:rPr>
          <w:rStyle w:val="Accentuation"/>
        </w:rPr>
        <w:t>Actes des 35es Journées d’Études sur la Parole</w:t>
      </w:r>
      <w:r>
        <w:t>, 2–12. Toulouse, France. ATALA &amp; AFPC.</w:t>
      </w:r>
    </w:p>
    <w:p w14:paraId="730CC234" w14:textId="5F1EF10A" w:rsidR="00FA62B8" w:rsidRDefault="00FA62B8" w:rsidP="003A453A">
      <w:pPr>
        <w:snapToGrid w:val="0"/>
        <w:spacing w:line="360" w:lineRule="auto"/>
        <w:contextualSpacing/>
        <w:jc w:val="both"/>
        <w:rPr>
          <w:color w:val="000000" w:themeColor="text1"/>
        </w:rPr>
      </w:pPr>
      <w:r w:rsidRPr="00D150E0">
        <w:rPr>
          <w:color w:val="000000" w:themeColor="text1"/>
        </w:rPr>
        <w:t>Harmegnies, B., Delvaux, V., Huet, K., &amp; Piccaluga, M. (2005). Oralité et cognition: Pour une approche raisonnée de la pédagogie du traitement de la matière phonique.</w:t>
      </w:r>
      <w:r w:rsidRPr="00D150E0">
        <w:rPr>
          <w:rStyle w:val="apple-converted-space"/>
          <w:color w:val="000000" w:themeColor="text1"/>
        </w:rPr>
        <w:t> </w:t>
      </w:r>
      <w:r w:rsidRPr="00D150E0">
        <w:rPr>
          <w:rStyle w:val="Accentuation"/>
          <w:color w:val="000000" w:themeColor="text1"/>
        </w:rPr>
        <w:t>Revue Parole, 34-35-36</w:t>
      </w:r>
      <w:r w:rsidRPr="00D150E0">
        <w:rPr>
          <w:color w:val="000000" w:themeColor="text1"/>
        </w:rPr>
        <w:t>, 277-348.</w:t>
      </w:r>
    </w:p>
    <w:p w14:paraId="0E725F1F" w14:textId="55B9E38E" w:rsidR="00061654" w:rsidRPr="00061654" w:rsidRDefault="00061654" w:rsidP="003A453A">
      <w:pPr>
        <w:snapToGrid w:val="0"/>
        <w:spacing w:line="360" w:lineRule="auto"/>
        <w:contextualSpacing/>
        <w:jc w:val="both"/>
        <w:rPr>
          <w:color w:val="000000" w:themeColor="text1"/>
        </w:rPr>
      </w:pPr>
      <w:r w:rsidRPr="00427876">
        <w:rPr>
          <w:lang w:val="en-US"/>
        </w:rPr>
        <w:t xml:space="preserve">Honikman, B. (1964). Articulatory settings. </w:t>
      </w:r>
      <w:r w:rsidR="002809FF">
        <w:rPr>
          <w:lang w:val="en-US"/>
        </w:rPr>
        <w:t>Dans</w:t>
      </w:r>
      <w:r w:rsidRPr="00427876">
        <w:rPr>
          <w:lang w:val="en-US"/>
        </w:rPr>
        <w:t xml:space="preserve"> D. Abercrombie, D. B. Fry, P. A. D. MacCarthy, N. C. Scott, &amp; J. L. M. </w:t>
      </w:r>
      <w:r w:rsidRPr="002809FF">
        <w:rPr>
          <w:lang w:val="en-US"/>
        </w:rPr>
        <w:t>Trim (</w:t>
      </w:r>
      <w:r w:rsidR="002809FF" w:rsidRPr="002809FF">
        <w:rPr>
          <w:lang w:val="en-US"/>
        </w:rPr>
        <w:t>dirs</w:t>
      </w:r>
      <w:r w:rsidRPr="002809FF">
        <w:rPr>
          <w:lang w:val="en-US"/>
        </w:rPr>
        <w:t xml:space="preserve">.), </w:t>
      </w:r>
      <w:r w:rsidRPr="002809FF">
        <w:rPr>
          <w:i/>
          <w:iCs/>
          <w:lang w:val="en-US"/>
        </w:rPr>
        <w:t>In</w:t>
      </w:r>
      <w:r w:rsidRPr="00427876">
        <w:rPr>
          <w:i/>
          <w:iCs/>
          <w:lang w:val="en-US"/>
        </w:rPr>
        <w:t xml:space="preserve"> honour of Daniel Jones: Papers contributed on the occasion of his eightieth birthday, 12 September 1961</w:t>
      </w:r>
      <w:r w:rsidRPr="00427876">
        <w:rPr>
          <w:lang w:val="en-US"/>
        </w:rPr>
        <w:t xml:space="preserve"> (pp. 73–84). </w:t>
      </w:r>
      <w:r w:rsidRPr="00061654">
        <w:t>Longman.</w:t>
      </w:r>
    </w:p>
    <w:p w14:paraId="4B8343E5" w14:textId="77777777" w:rsidR="00FA62B8" w:rsidRPr="00631CD9" w:rsidRDefault="00FA62B8" w:rsidP="003A453A">
      <w:pPr>
        <w:snapToGrid w:val="0"/>
        <w:spacing w:line="360" w:lineRule="auto"/>
        <w:contextualSpacing/>
        <w:jc w:val="both"/>
        <w:rPr>
          <w:color w:val="000000" w:themeColor="text1"/>
        </w:rPr>
      </w:pPr>
      <w:r>
        <w:t xml:space="preserve">Huet, K., Piccaluga, M., Delvaux, V., &amp; Harmegnies, B. (2012). Pour une évaluation de la compliance phonique. </w:t>
      </w:r>
      <w:r>
        <w:rPr>
          <w:rStyle w:val="Accentuation"/>
        </w:rPr>
        <w:t>Actes de la conférence conjointe JEP-TALN-RECITAL 2012 – Volume 1: JEP</w:t>
      </w:r>
      <w:r>
        <w:t>, 401–408. ATALA/AFCP.</w:t>
      </w:r>
    </w:p>
    <w:p w14:paraId="05D07D8A" w14:textId="49E533D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Jilka, M. (2009). Talent and proficiency in language. </w:t>
      </w:r>
      <w:r w:rsidR="002809FF">
        <w:rPr>
          <w:color w:val="000000" w:themeColor="text1"/>
          <w:lang w:val="en-US"/>
        </w:rPr>
        <w:t>Dans</w:t>
      </w:r>
      <w:r w:rsidRPr="00D150E0">
        <w:rPr>
          <w:color w:val="000000" w:themeColor="text1"/>
          <w:lang w:val="en-US"/>
        </w:rPr>
        <w:t xml:space="preserve"> G. Dogil &amp; M. S. Reiterer </w:t>
      </w:r>
      <w:r w:rsidRPr="002809FF">
        <w:rPr>
          <w:color w:val="000000" w:themeColor="text1"/>
          <w:lang w:val="en-US"/>
        </w:rPr>
        <w:t>(</w:t>
      </w:r>
      <w:r w:rsidR="002809FF" w:rsidRPr="002809FF">
        <w:rPr>
          <w:color w:val="000000" w:themeColor="text1"/>
          <w:lang w:val="en-US"/>
        </w:rPr>
        <w:t>dirs</w:t>
      </w:r>
      <w:r w:rsidRPr="002809FF">
        <w:rPr>
          <w:color w:val="000000" w:themeColor="text1"/>
          <w:lang w:val="en-US"/>
        </w:rPr>
        <w:t>.),</w:t>
      </w:r>
      <w:r w:rsidRPr="002809FF">
        <w:rPr>
          <w:rStyle w:val="apple-converted-space"/>
          <w:color w:val="000000" w:themeColor="text1"/>
          <w:lang w:val="en-US"/>
        </w:rPr>
        <w:t> </w:t>
      </w:r>
      <w:r w:rsidRPr="002809FF">
        <w:rPr>
          <w:rStyle w:val="Accentuation"/>
          <w:color w:val="000000" w:themeColor="text1"/>
          <w:lang w:val="en-US"/>
        </w:rPr>
        <w:t>Language</w:t>
      </w:r>
      <w:r w:rsidRPr="00D150E0">
        <w:rPr>
          <w:rStyle w:val="Accentuation"/>
          <w:color w:val="000000" w:themeColor="text1"/>
          <w:lang w:val="en-US"/>
        </w:rPr>
        <w:t xml:space="preserve"> talent and brain activity: Trends in applied linguistics</w:t>
      </w:r>
      <w:r w:rsidRPr="00D150E0">
        <w:rPr>
          <w:rStyle w:val="apple-converted-space"/>
          <w:color w:val="000000" w:themeColor="text1"/>
          <w:lang w:val="en-US"/>
        </w:rPr>
        <w:t> </w:t>
      </w:r>
      <w:r w:rsidRPr="00D150E0">
        <w:rPr>
          <w:color w:val="000000" w:themeColor="text1"/>
          <w:lang w:val="en-US"/>
        </w:rPr>
        <w:t>(pp. 1-16). de Gruyter. https://doi.org/10.1515/9783110215496.1</w:t>
      </w:r>
    </w:p>
    <w:p w14:paraId="2A6CC657" w14:textId="6758EC1B"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Jilka, M., Anufryk, V., Baumotte, H., Lewandowska, N., Rota, G., &amp; Reiterer, S. (2007). Assessing individual talent in second language production and perception. </w:t>
      </w:r>
      <w:r w:rsidR="002809FF">
        <w:rPr>
          <w:color w:val="000000" w:themeColor="text1"/>
          <w:lang w:val="en-US"/>
        </w:rPr>
        <w:t>Dans</w:t>
      </w:r>
      <w:r w:rsidRPr="00D150E0">
        <w:rPr>
          <w:color w:val="000000" w:themeColor="text1"/>
          <w:lang w:val="en-US"/>
        </w:rPr>
        <w:t xml:space="preserve"> M. Wrembel, M. Kul, &amp; K. Dziubalska-</w:t>
      </w:r>
      <w:r w:rsidRPr="002809FF">
        <w:rPr>
          <w:color w:val="000000" w:themeColor="text1"/>
          <w:lang w:val="en-US"/>
        </w:rPr>
        <w:t>Kolaczyk (</w:t>
      </w:r>
      <w:r w:rsidR="002809FF" w:rsidRPr="002809FF">
        <w:rPr>
          <w:color w:val="000000" w:themeColor="text1"/>
          <w:lang w:val="en-US"/>
        </w:rPr>
        <w:t>dirs</w:t>
      </w:r>
      <w:r w:rsidRPr="002809FF">
        <w:rPr>
          <w:color w:val="000000" w:themeColor="text1"/>
          <w:lang w:val="en-US"/>
        </w:rPr>
        <w:t>.),</w:t>
      </w:r>
      <w:r w:rsidRPr="002809FF">
        <w:rPr>
          <w:rStyle w:val="apple-converted-space"/>
          <w:color w:val="000000" w:themeColor="text1"/>
          <w:lang w:val="en-US"/>
        </w:rPr>
        <w:t> </w:t>
      </w:r>
      <w:r w:rsidRPr="002809FF">
        <w:rPr>
          <w:rStyle w:val="Accentuation"/>
          <w:color w:val="000000" w:themeColor="text1"/>
          <w:lang w:val="en-US"/>
        </w:rPr>
        <w:t>Proceedings</w:t>
      </w:r>
      <w:r w:rsidRPr="00D150E0">
        <w:rPr>
          <w:rStyle w:val="Accentuation"/>
          <w:color w:val="000000" w:themeColor="text1"/>
          <w:lang w:val="en-US"/>
        </w:rPr>
        <w:t xml:space="preserve"> of the 5th ISALSS</w:t>
      </w:r>
      <w:r w:rsidRPr="00D150E0">
        <w:rPr>
          <w:rStyle w:val="apple-converted-space"/>
          <w:color w:val="000000" w:themeColor="text1"/>
          <w:lang w:val="en-US"/>
        </w:rPr>
        <w:t> </w:t>
      </w:r>
      <w:r w:rsidRPr="00D150E0">
        <w:rPr>
          <w:color w:val="000000" w:themeColor="text1"/>
          <w:lang w:val="en-US"/>
        </w:rPr>
        <w:t xml:space="preserve">(pp. 243-258). </w:t>
      </w:r>
      <w:r w:rsidRPr="00D150E0">
        <w:rPr>
          <w:color w:val="000000" w:themeColor="text1"/>
        </w:rPr>
        <w:t>Peter Lang.</w:t>
      </w:r>
    </w:p>
    <w:p w14:paraId="2A01BBB8" w14:textId="0FAD5D93"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lastRenderedPageBreak/>
        <w:t xml:space="preserve">Jilka, M., Anufryk, V., Baumotte, H., Lewandowska, N., Rota, G., &amp; Reiterer, S. (2008). Assessing individual talent in second language production and perception. </w:t>
      </w:r>
      <w:r w:rsidR="002809FF">
        <w:rPr>
          <w:color w:val="000000" w:themeColor="text1"/>
          <w:lang w:val="en-US"/>
        </w:rPr>
        <w:t>Dans</w:t>
      </w:r>
      <w:r w:rsidRPr="00D150E0">
        <w:rPr>
          <w:color w:val="000000" w:themeColor="text1"/>
          <w:lang w:val="en-US"/>
        </w:rPr>
        <w:t xml:space="preserve"> M. Wrembel, M. Kul, &amp; K. Dziubalska-</w:t>
      </w:r>
      <w:r w:rsidRPr="002809FF">
        <w:rPr>
          <w:color w:val="000000" w:themeColor="text1"/>
          <w:lang w:val="en-US"/>
        </w:rPr>
        <w:t>Kolaczyk (</w:t>
      </w:r>
      <w:r w:rsidR="002809FF" w:rsidRPr="002809FF">
        <w:rPr>
          <w:color w:val="000000" w:themeColor="text1"/>
          <w:lang w:val="en-US"/>
        </w:rPr>
        <w:t>dirs</w:t>
      </w:r>
      <w:r w:rsidRPr="002809FF">
        <w:rPr>
          <w:color w:val="000000" w:themeColor="text1"/>
          <w:lang w:val="en-US"/>
        </w:rPr>
        <w:t>.),</w:t>
      </w:r>
      <w:r w:rsidRPr="002809FF">
        <w:rPr>
          <w:rStyle w:val="apple-converted-space"/>
          <w:color w:val="000000" w:themeColor="text1"/>
          <w:lang w:val="en-US"/>
        </w:rPr>
        <w:t> </w:t>
      </w:r>
      <w:r w:rsidRPr="002809FF">
        <w:rPr>
          <w:rStyle w:val="Accentuation"/>
          <w:color w:val="000000" w:themeColor="text1"/>
          <w:lang w:val="en-US"/>
        </w:rPr>
        <w:t>New</w:t>
      </w:r>
      <w:r w:rsidRPr="00D150E0">
        <w:rPr>
          <w:rStyle w:val="Accentuation"/>
          <w:color w:val="000000" w:themeColor="text1"/>
          <w:lang w:val="en-US"/>
        </w:rPr>
        <w:t xml:space="preserve"> sounds 2007: Proceedings of the fifth international symposium on the acquisition of second language speech</w:t>
      </w:r>
      <w:r w:rsidRPr="00D150E0">
        <w:rPr>
          <w:rStyle w:val="apple-converted-space"/>
          <w:color w:val="000000" w:themeColor="text1"/>
          <w:lang w:val="en-US"/>
        </w:rPr>
        <w:t> </w:t>
      </w:r>
      <w:r w:rsidRPr="00D150E0">
        <w:rPr>
          <w:color w:val="000000" w:themeColor="text1"/>
          <w:lang w:val="en-US"/>
        </w:rPr>
        <w:t xml:space="preserve">(pp. 243-258). </w:t>
      </w:r>
      <w:r w:rsidRPr="00D150E0">
        <w:rPr>
          <w:color w:val="000000" w:themeColor="text1"/>
        </w:rPr>
        <w:t>Peter Lang.</w:t>
      </w:r>
    </w:p>
    <w:p w14:paraId="1F8B3998" w14:textId="7777777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Klatt, D. H. (1980). Software for a cascade/parallel formant synthesizer.</w:t>
      </w:r>
      <w:r w:rsidRPr="00D150E0">
        <w:rPr>
          <w:rStyle w:val="apple-converted-space"/>
          <w:color w:val="000000" w:themeColor="text1"/>
          <w:lang w:val="en-US"/>
        </w:rPr>
        <w:t> </w:t>
      </w:r>
      <w:r w:rsidRPr="00D150E0">
        <w:rPr>
          <w:rStyle w:val="Accentuation"/>
          <w:color w:val="000000" w:themeColor="text1"/>
          <w:lang w:val="en-US"/>
        </w:rPr>
        <w:t>Journal of the Acoustical Society of America, 67</w:t>
      </w:r>
      <w:r w:rsidRPr="00D150E0">
        <w:rPr>
          <w:color w:val="000000" w:themeColor="text1"/>
          <w:lang w:val="en-US"/>
        </w:rPr>
        <w:t>(3), 971-995. https://doi.org/10.1121/1.383940</w:t>
      </w:r>
    </w:p>
    <w:p w14:paraId="3B2D3517"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Kuhl, P. K. (1991). Human adults and human infants show a “perceptual magnet effect” for the prototypes of speech categories, monkeys do not.</w:t>
      </w:r>
      <w:r w:rsidRPr="00D150E0">
        <w:rPr>
          <w:rStyle w:val="apple-converted-space"/>
          <w:color w:val="000000" w:themeColor="text1"/>
          <w:lang w:val="en-US"/>
        </w:rPr>
        <w:t> </w:t>
      </w:r>
      <w:r w:rsidRPr="00D150E0">
        <w:rPr>
          <w:rStyle w:val="Accentuation"/>
          <w:color w:val="000000" w:themeColor="text1"/>
        </w:rPr>
        <w:t>Perception &amp; Psychophysics, 50</w:t>
      </w:r>
      <w:r w:rsidRPr="00D150E0">
        <w:rPr>
          <w:color w:val="000000" w:themeColor="text1"/>
        </w:rPr>
        <w:t>(2), 93-107. https://doi.org/10.3758/BF03212211</w:t>
      </w:r>
    </w:p>
    <w:p w14:paraId="505A8806" w14:textId="7777777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Kuhl, P. K. (2000). A new view of language acquisition.</w:t>
      </w:r>
      <w:r w:rsidRPr="00D150E0">
        <w:rPr>
          <w:rStyle w:val="apple-converted-space"/>
          <w:color w:val="000000" w:themeColor="text1"/>
          <w:lang w:val="en-US"/>
        </w:rPr>
        <w:t> </w:t>
      </w:r>
      <w:r w:rsidRPr="00D150E0">
        <w:rPr>
          <w:rStyle w:val="Accentuation"/>
          <w:color w:val="000000" w:themeColor="text1"/>
          <w:lang w:val="en-US"/>
        </w:rPr>
        <w:t>Proceedings of the National Academy of Sciences, 97</w:t>
      </w:r>
      <w:r w:rsidRPr="00D150E0">
        <w:rPr>
          <w:color w:val="000000" w:themeColor="text1"/>
          <w:lang w:val="en-US"/>
        </w:rPr>
        <w:t>(22), 11850-11857. https://doi.org/10.1073/pnas.97.22.11850</w:t>
      </w:r>
    </w:p>
    <w:p w14:paraId="3C2131C3" w14:textId="7777777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Kuhl, P. K., Conboy, B. T., Coffey-Corina, S., Padden, D., Rivera-Gaxiola, M., &amp; Nelson, T. (2008). Phonetic learning as a pathway to language: New data and native language magnet theory expanded (NLM-e).</w:t>
      </w:r>
      <w:r w:rsidRPr="00D150E0">
        <w:rPr>
          <w:rStyle w:val="apple-converted-space"/>
          <w:color w:val="000000" w:themeColor="text1"/>
          <w:lang w:val="en-US"/>
        </w:rPr>
        <w:t> </w:t>
      </w:r>
      <w:r w:rsidRPr="00D150E0">
        <w:rPr>
          <w:rStyle w:val="Accentuation"/>
          <w:color w:val="000000" w:themeColor="text1"/>
          <w:lang w:val="en-US"/>
        </w:rPr>
        <w:t>Philosophical Transactions of the Royal Society B: Biological Sciences, 363</w:t>
      </w:r>
      <w:r w:rsidRPr="00D150E0">
        <w:rPr>
          <w:color w:val="000000" w:themeColor="text1"/>
          <w:lang w:val="en-US"/>
        </w:rPr>
        <w:t xml:space="preserve">(1493), 979-1000. </w:t>
      </w:r>
      <w:hyperlink r:id="rId23" w:history="1">
        <w:r w:rsidRPr="00D150E0">
          <w:rPr>
            <w:rStyle w:val="Lienhypertexte"/>
            <w:color w:val="000000" w:themeColor="text1"/>
            <w:u w:val="none"/>
            <w:lang w:val="en-US"/>
          </w:rPr>
          <w:t>https://doi.org/10.1098/rstb.2007.2154</w:t>
        </w:r>
      </w:hyperlink>
    </w:p>
    <w:p w14:paraId="607EC8AD" w14:textId="77777777" w:rsidR="00FA62B8"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Ladefoged, P. (2005). </w:t>
      </w:r>
      <w:r w:rsidRPr="00D150E0">
        <w:rPr>
          <w:rStyle w:val="Accentuation"/>
          <w:color w:val="000000" w:themeColor="text1"/>
          <w:lang w:val="en-US"/>
        </w:rPr>
        <w:t>Vowels and consonants: An introduction to the sounds of languages</w:t>
      </w:r>
      <w:r w:rsidRPr="00D150E0">
        <w:rPr>
          <w:color w:val="000000" w:themeColor="text1"/>
          <w:lang w:val="en-US"/>
        </w:rPr>
        <w:t xml:space="preserve"> (2nd ed.). </w:t>
      </w:r>
      <w:r w:rsidRPr="00D150E0">
        <w:rPr>
          <w:color w:val="000000" w:themeColor="text1"/>
        </w:rPr>
        <w:t>Blackwell Publishing.</w:t>
      </w:r>
    </w:p>
    <w:p w14:paraId="7AE56F95" w14:textId="77777777" w:rsidR="00FA62B8" w:rsidRPr="001F40F7" w:rsidRDefault="00FA62B8" w:rsidP="003A453A">
      <w:pPr>
        <w:snapToGrid w:val="0"/>
        <w:spacing w:line="360" w:lineRule="auto"/>
        <w:contextualSpacing/>
        <w:jc w:val="both"/>
        <w:rPr>
          <w:color w:val="000000" w:themeColor="text1"/>
          <w:lang w:val="en-US"/>
        </w:rPr>
      </w:pPr>
      <w:r w:rsidRPr="001F40F7">
        <w:rPr>
          <w:lang w:val="en-US"/>
        </w:rPr>
        <w:t xml:space="preserve">Laver, J. (1978). The concept of articulatory settings: An historical survey. </w:t>
      </w:r>
      <w:r>
        <w:rPr>
          <w:rStyle w:val="Accentuation"/>
        </w:rPr>
        <w:t>Historiographia Linguistica, 5</w:t>
      </w:r>
      <w:r>
        <w:t>(1–2), 1–14.</w:t>
      </w:r>
      <w:r w:rsidRPr="00051DAC">
        <w:rPr>
          <w:color w:val="000000" w:themeColor="text1"/>
        </w:rPr>
        <w:t xml:space="preserve"> </w:t>
      </w:r>
      <w:hyperlink r:id="rId24" w:tgtFrame="_new" w:history="1">
        <w:r w:rsidRPr="00051DAC">
          <w:rPr>
            <w:rStyle w:val="Lienhypertexte"/>
            <w:color w:val="000000" w:themeColor="text1"/>
            <w:u w:val="none"/>
          </w:rPr>
          <w:t>https://doi.org/10.1075/hl.5.1-2.02lav</w:t>
        </w:r>
      </w:hyperlink>
    </w:p>
    <w:p w14:paraId="4EF6A60F" w14:textId="77777777" w:rsidR="00FA62B8" w:rsidRDefault="00FA62B8" w:rsidP="003A453A">
      <w:pPr>
        <w:snapToGrid w:val="0"/>
        <w:spacing w:line="360" w:lineRule="auto"/>
        <w:contextualSpacing/>
        <w:jc w:val="both"/>
        <w:rPr>
          <w:color w:val="000000" w:themeColor="text1"/>
          <w:lang w:val="en-US"/>
        </w:rPr>
      </w:pPr>
      <w:r w:rsidRPr="00D150E0">
        <w:rPr>
          <w:rStyle w:val="lev"/>
          <w:b w:val="0"/>
          <w:bCs w:val="0"/>
          <w:color w:val="000000" w:themeColor="text1"/>
          <w:lang w:val="en-US"/>
        </w:rPr>
        <w:t>Lewandowski, N., &amp; Jilka, M. (2019).</w:t>
      </w:r>
      <w:r w:rsidRPr="00D150E0">
        <w:rPr>
          <w:color w:val="000000" w:themeColor="text1"/>
          <w:lang w:val="en-US"/>
        </w:rPr>
        <w:t xml:space="preserve"> Phonetic convergence, language talent, personality and attention. </w:t>
      </w:r>
      <w:r w:rsidRPr="00D150E0">
        <w:rPr>
          <w:rStyle w:val="Accentuation"/>
          <w:color w:val="000000" w:themeColor="text1"/>
        </w:rPr>
        <w:t>Frontiers in Communication, 4</w:t>
      </w:r>
      <w:r w:rsidRPr="00D150E0">
        <w:rPr>
          <w:color w:val="000000" w:themeColor="text1"/>
        </w:rPr>
        <w:t xml:space="preserve">, Article 18. </w:t>
      </w:r>
      <w:hyperlink r:id="rId25" w:tgtFrame="_new" w:history="1">
        <w:r w:rsidRPr="00D150E0">
          <w:rPr>
            <w:rStyle w:val="Lienhypertexte"/>
            <w:color w:val="000000" w:themeColor="text1"/>
            <w:u w:val="none"/>
          </w:rPr>
          <w:t>https://doi.org/10.3389/fcomm.2019.00018</w:t>
        </w:r>
      </w:hyperlink>
    </w:p>
    <w:p w14:paraId="674D5BE6" w14:textId="57266B81" w:rsidR="00FA62B8" w:rsidRPr="00A46F34" w:rsidRDefault="00FA62B8" w:rsidP="003A453A">
      <w:pPr>
        <w:snapToGrid w:val="0"/>
        <w:spacing w:line="360" w:lineRule="auto"/>
        <w:contextualSpacing/>
        <w:jc w:val="both"/>
        <w:rPr>
          <w:color w:val="000000" w:themeColor="text1"/>
          <w:lang w:val="en-US"/>
        </w:rPr>
      </w:pPr>
      <w:r w:rsidRPr="00A46F34">
        <w:rPr>
          <w:lang w:val="en-US"/>
        </w:rPr>
        <w:t xml:space="preserve">Li, S. (2022). Working memory and second language learning: A critical and synthetic review. </w:t>
      </w:r>
      <w:r w:rsidR="002809FF">
        <w:rPr>
          <w:lang w:val="en-US"/>
        </w:rPr>
        <w:t>Dans</w:t>
      </w:r>
      <w:r w:rsidRPr="00A46F34">
        <w:rPr>
          <w:lang w:val="en-US"/>
        </w:rPr>
        <w:t xml:space="preserve"> A. Godfroid &amp; H. </w:t>
      </w:r>
      <w:r w:rsidRPr="002809FF">
        <w:rPr>
          <w:lang w:val="en-US"/>
        </w:rPr>
        <w:t>Hopp (</w:t>
      </w:r>
      <w:r w:rsidR="002809FF" w:rsidRPr="002809FF">
        <w:rPr>
          <w:lang w:val="en-US"/>
        </w:rPr>
        <w:t>dirs</w:t>
      </w:r>
      <w:r w:rsidRPr="002809FF">
        <w:rPr>
          <w:lang w:val="en-US"/>
        </w:rPr>
        <w:t xml:space="preserve">.), </w:t>
      </w:r>
      <w:r w:rsidRPr="002809FF">
        <w:rPr>
          <w:rStyle w:val="Accentuation"/>
          <w:lang w:val="en-US"/>
        </w:rPr>
        <w:t>The</w:t>
      </w:r>
      <w:r w:rsidRPr="00A46F34">
        <w:rPr>
          <w:rStyle w:val="Accentuation"/>
          <w:lang w:val="en-US"/>
        </w:rPr>
        <w:t xml:space="preserve"> Routledge handbook of second language acquisition and psycholinguistics</w:t>
      </w:r>
      <w:r w:rsidRPr="00A46F34">
        <w:rPr>
          <w:lang w:val="en-US"/>
        </w:rPr>
        <w:t xml:space="preserve"> (pp. 348–360). </w:t>
      </w:r>
      <w:r>
        <w:t xml:space="preserve">Routledge. </w:t>
      </w:r>
      <w:hyperlink r:id="rId26" w:tgtFrame="_new" w:history="1">
        <w:r w:rsidRPr="00A46F34">
          <w:rPr>
            <w:rStyle w:val="Lienhypertexte"/>
            <w:color w:val="000000" w:themeColor="text1"/>
            <w:u w:val="none"/>
          </w:rPr>
          <w:t>https://doi.org/10.4324/9781003018872-32</w:t>
        </w:r>
      </w:hyperlink>
    </w:p>
    <w:p w14:paraId="1DCB6737" w14:textId="3363A9DB" w:rsidR="00FA62B8" w:rsidRDefault="00FA62B8" w:rsidP="003A453A">
      <w:pPr>
        <w:snapToGrid w:val="0"/>
        <w:spacing w:line="360" w:lineRule="auto"/>
        <w:contextualSpacing/>
        <w:jc w:val="both"/>
        <w:rPr>
          <w:color w:val="000000" w:themeColor="text1"/>
          <w:lang w:val="en-US"/>
        </w:rPr>
      </w:pPr>
      <w:r w:rsidRPr="007F7106">
        <w:rPr>
          <w:color w:val="000000" w:themeColor="text1"/>
          <w:lang w:val="en-US"/>
        </w:rPr>
        <w:t>Li, S., Hiver, P., &amp; Papi, M</w:t>
      </w:r>
      <w:r w:rsidRPr="002809FF">
        <w:rPr>
          <w:color w:val="000000" w:themeColor="text1"/>
          <w:lang w:val="en-US"/>
        </w:rPr>
        <w:t>. (</w:t>
      </w:r>
      <w:r w:rsidR="002809FF" w:rsidRPr="002809FF">
        <w:rPr>
          <w:color w:val="000000" w:themeColor="text1"/>
          <w:lang w:val="en-US"/>
        </w:rPr>
        <w:t>dirs</w:t>
      </w:r>
      <w:r w:rsidRPr="002809FF">
        <w:rPr>
          <w:color w:val="000000" w:themeColor="text1"/>
          <w:lang w:val="en-US"/>
        </w:rPr>
        <w:t>.). (2022</w:t>
      </w:r>
      <w:r w:rsidRPr="007F7106">
        <w:rPr>
          <w:color w:val="000000" w:themeColor="text1"/>
          <w:lang w:val="en-US"/>
        </w:rPr>
        <w:t xml:space="preserve">). </w:t>
      </w:r>
      <w:r w:rsidRPr="007F7106">
        <w:rPr>
          <w:rStyle w:val="Accentuation"/>
          <w:color w:val="000000" w:themeColor="text1"/>
          <w:lang w:val="en-US"/>
        </w:rPr>
        <w:t>The Routledge handbook of second language acquisition and individual differences</w:t>
      </w:r>
      <w:r w:rsidRPr="007F7106">
        <w:rPr>
          <w:color w:val="000000" w:themeColor="text1"/>
          <w:lang w:val="en-US"/>
        </w:rPr>
        <w:t xml:space="preserve"> (1st ed.). </w:t>
      </w:r>
      <w:r w:rsidRPr="00427876">
        <w:rPr>
          <w:color w:val="000000" w:themeColor="text1"/>
          <w:lang w:val="en-US"/>
        </w:rPr>
        <w:t xml:space="preserve">Routledge. </w:t>
      </w:r>
      <w:hyperlink r:id="rId27" w:tgtFrame="_new" w:history="1">
        <w:r w:rsidRPr="007F7106">
          <w:rPr>
            <w:rStyle w:val="Lienhypertexte"/>
            <w:color w:val="000000" w:themeColor="text1"/>
            <w:u w:val="none"/>
          </w:rPr>
          <w:t>https://doi.org/10.4324/9781003270546</w:t>
        </w:r>
      </w:hyperlink>
    </w:p>
    <w:p w14:paraId="1F436899" w14:textId="77777777" w:rsidR="00FA62B8" w:rsidRPr="00B02E25" w:rsidRDefault="00FA62B8" w:rsidP="003A453A">
      <w:pPr>
        <w:snapToGrid w:val="0"/>
        <w:spacing w:line="360" w:lineRule="auto"/>
        <w:contextualSpacing/>
        <w:jc w:val="both"/>
        <w:rPr>
          <w:color w:val="000000" w:themeColor="text1"/>
          <w:lang w:val="en-US"/>
        </w:rPr>
      </w:pPr>
      <w:r w:rsidRPr="00B02E25">
        <w:rPr>
          <w:color w:val="000000" w:themeColor="text1"/>
          <w:lang w:val="en-US"/>
        </w:rPr>
        <w:t>Li, S., &amp; Zhao, H. (2021). The methodology of the research on language aptitude: A systematic review.</w:t>
      </w:r>
      <w:r w:rsidRPr="00B02E25">
        <w:rPr>
          <w:rStyle w:val="apple-converted-space"/>
          <w:color w:val="000000" w:themeColor="text1"/>
          <w:lang w:val="en-US"/>
        </w:rPr>
        <w:t> </w:t>
      </w:r>
      <w:r w:rsidRPr="00B02E25">
        <w:rPr>
          <w:rStyle w:val="Accentuation"/>
          <w:color w:val="000000" w:themeColor="text1"/>
          <w:lang w:val="en-US"/>
        </w:rPr>
        <w:t>Annual Review of Applied Linguistics, 41</w:t>
      </w:r>
      <w:r w:rsidRPr="00B02E25">
        <w:rPr>
          <w:color w:val="000000" w:themeColor="text1"/>
          <w:lang w:val="en-US"/>
        </w:rPr>
        <w:t xml:space="preserve">, 25-54. </w:t>
      </w:r>
      <w:hyperlink r:id="rId28" w:tgtFrame="_new" w:history="1">
        <w:r w:rsidRPr="00B02E25">
          <w:rPr>
            <w:rStyle w:val="Lienhypertexte"/>
            <w:color w:val="000000" w:themeColor="text1"/>
            <w:u w:val="none"/>
          </w:rPr>
          <w:t>https://doi.org/10.1017/S0267190520000136</w:t>
        </w:r>
      </w:hyperlink>
    </w:p>
    <w:p w14:paraId="78107139" w14:textId="77777777" w:rsidR="00FA62B8" w:rsidRPr="00B02E25" w:rsidRDefault="00FA62B8" w:rsidP="003A453A">
      <w:pPr>
        <w:snapToGrid w:val="0"/>
        <w:spacing w:line="360" w:lineRule="auto"/>
        <w:contextualSpacing/>
        <w:jc w:val="both"/>
        <w:rPr>
          <w:color w:val="000000" w:themeColor="text1"/>
        </w:rPr>
      </w:pPr>
      <w:r w:rsidRPr="00B02E25">
        <w:rPr>
          <w:color w:val="000000" w:themeColor="text1"/>
          <w:lang w:val="en-US"/>
        </w:rPr>
        <w:lastRenderedPageBreak/>
        <w:t xml:space="preserve">Liu, Z., Yin, S. X., Lin, J., &amp; Chen, N. F. (2024). Personality-aware student simulation for conversational intelligent tutoring systems. </w:t>
      </w:r>
      <w:r w:rsidRPr="00B02E25">
        <w:rPr>
          <w:rStyle w:val="Accentuation"/>
          <w:color w:val="000000" w:themeColor="text1"/>
          <w:lang w:val="en-US"/>
        </w:rPr>
        <w:t>arXiv preprint</w:t>
      </w:r>
      <w:r w:rsidRPr="00B02E25">
        <w:rPr>
          <w:color w:val="000000" w:themeColor="text1"/>
          <w:lang w:val="en-US"/>
        </w:rPr>
        <w:t xml:space="preserve">, arXiv:2404.06762. </w:t>
      </w:r>
      <w:hyperlink r:id="rId29" w:tgtFrame="_new" w:history="1">
        <w:r w:rsidRPr="00B02E25">
          <w:rPr>
            <w:rStyle w:val="Lienhypertexte"/>
            <w:color w:val="000000" w:themeColor="text1"/>
            <w:u w:val="none"/>
          </w:rPr>
          <w:t>https://arxiv.org/abs/2404.06762</w:t>
        </w:r>
      </w:hyperlink>
    </w:p>
    <w:p w14:paraId="29D48807"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nl-BE"/>
        </w:rPr>
        <w:t xml:space="preserve">Munro, M. J., &amp; Derwing, T. M. (2020). </w:t>
      </w:r>
      <w:r w:rsidRPr="00D150E0">
        <w:rPr>
          <w:color w:val="000000" w:themeColor="text1"/>
          <w:lang w:val="en-US"/>
        </w:rPr>
        <w:t xml:space="preserve">Foreign accent, comprehensibility and intelligibility, redux. </w:t>
      </w:r>
      <w:r w:rsidRPr="00D150E0">
        <w:rPr>
          <w:i/>
          <w:iCs/>
          <w:color w:val="000000" w:themeColor="text1"/>
        </w:rPr>
        <w:t>Journal of Second Language Pronunciation, 6</w:t>
      </w:r>
      <w:r w:rsidRPr="00D150E0">
        <w:rPr>
          <w:color w:val="000000" w:themeColor="text1"/>
        </w:rPr>
        <w:t xml:space="preserve">(3), 283–309. </w:t>
      </w:r>
      <w:hyperlink r:id="rId30" w:tgtFrame="_new" w:history="1">
        <w:r w:rsidRPr="00D150E0">
          <w:rPr>
            <w:color w:val="000000" w:themeColor="text1"/>
          </w:rPr>
          <w:t>https://doi.org/10.1075/jslp.20038.mun</w:t>
        </w:r>
      </w:hyperlink>
    </w:p>
    <w:p w14:paraId="597332CF"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Oga-Baldwin, W. L. Q., &amp; Fryer, L. K. (2020). Profiles of language learning motivation: Are new and own languages different? </w:t>
      </w:r>
      <w:r w:rsidRPr="00D150E0">
        <w:rPr>
          <w:rStyle w:val="Accentuation"/>
          <w:color w:val="000000" w:themeColor="text1"/>
        </w:rPr>
        <w:t>Learning and Individual Differences, 79</w:t>
      </w:r>
      <w:r w:rsidRPr="00D150E0">
        <w:rPr>
          <w:color w:val="000000" w:themeColor="text1"/>
        </w:rPr>
        <w:t xml:space="preserve">, 101852. </w:t>
      </w:r>
      <w:hyperlink r:id="rId31" w:tgtFrame="_new" w:history="1">
        <w:r w:rsidRPr="00D150E0">
          <w:rPr>
            <w:rStyle w:val="Lienhypertexte"/>
            <w:color w:val="000000" w:themeColor="text1"/>
            <w:u w:val="none"/>
          </w:rPr>
          <w:t>https://doi.org/10.1016/j.lindif.2020.101852</w:t>
        </w:r>
      </w:hyperlink>
    </w:p>
    <w:p w14:paraId="337106DE"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Park, J., Kim, M., Hong, D., &amp; Lee, J. (2024). </w:t>
      </w:r>
      <w:r w:rsidRPr="00D150E0">
        <w:rPr>
          <w:rStyle w:val="Accentuation"/>
          <w:color w:val="000000" w:themeColor="text1"/>
          <w:lang w:val="en-US"/>
        </w:rPr>
        <w:t>Inter-linguistic phonetic composition (IPC): A theoretical and computational approach to enhance second language pronunciation</w:t>
      </w:r>
      <w:r w:rsidRPr="00D150E0">
        <w:rPr>
          <w:color w:val="000000" w:themeColor="text1"/>
          <w:lang w:val="en-US"/>
        </w:rPr>
        <w:t xml:space="preserve">. arXiv preprint arXiv:2411.10927. </w:t>
      </w:r>
      <w:hyperlink r:id="rId32" w:tgtFrame="_new" w:history="1">
        <w:r w:rsidRPr="00D150E0">
          <w:rPr>
            <w:rStyle w:val="Lienhypertexte"/>
            <w:color w:val="000000" w:themeColor="text1"/>
            <w:u w:val="none"/>
          </w:rPr>
          <w:t>https://arxiv.org/abs/2411.10927</w:t>
        </w:r>
      </w:hyperlink>
    </w:p>
    <w:p w14:paraId="12213A0F" w14:textId="77777777" w:rsidR="00FA62B8" w:rsidRDefault="00FA62B8" w:rsidP="003A453A">
      <w:pPr>
        <w:snapToGrid w:val="0"/>
        <w:spacing w:line="360" w:lineRule="auto"/>
        <w:contextualSpacing/>
        <w:jc w:val="both"/>
        <w:rPr>
          <w:color w:val="000000" w:themeColor="text1"/>
        </w:rPr>
      </w:pPr>
      <w:r w:rsidRPr="00D150E0">
        <w:rPr>
          <w:color w:val="000000" w:themeColor="text1"/>
          <w:lang w:val="en-US"/>
        </w:rPr>
        <w:t xml:space="preserve">Pfenninger, S. E., Festman, J., &amp; Singleton, D. (2023). </w:t>
      </w:r>
      <w:r w:rsidRPr="00D150E0">
        <w:rPr>
          <w:rStyle w:val="Accentuation"/>
          <w:color w:val="000000" w:themeColor="text1"/>
          <w:lang w:val="en-US"/>
        </w:rPr>
        <w:t>Second language acquisition and lifelong learning</w:t>
      </w:r>
      <w:r w:rsidRPr="00D150E0">
        <w:rPr>
          <w:color w:val="000000" w:themeColor="text1"/>
          <w:lang w:val="en-US"/>
        </w:rPr>
        <w:t xml:space="preserve">. </w:t>
      </w:r>
      <w:r w:rsidRPr="00D150E0">
        <w:rPr>
          <w:color w:val="000000" w:themeColor="text1"/>
        </w:rPr>
        <w:t xml:space="preserve">Routledge. </w:t>
      </w:r>
      <w:hyperlink r:id="rId33" w:history="1">
        <w:r w:rsidRPr="00D150E0">
          <w:rPr>
            <w:rStyle w:val="Lienhypertexte"/>
            <w:color w:val="000000" w:themeColor="text1"/>
            <w:u w:val="none"/>
          </w:rPr>
          <w:t>https://doi.org/10.4324/9781003168935</w:t>
        </w:r>
      </w:hyperlink>
    </w:p>
    <w:p w14:paraId="1FBD08E6" w14:textId="77777777" w:rsidR="00FA62B8" w:rsidRPr="00441DA5" w:rsidRDefault="00FA62B8" w:rsidP="003A453A">
      <w:pPr>
        <w:snapToGrid w:val="0"/>
        <w:spacing w:line="360" w:lineRule="auto"/>
        <w:contextualSpacing/>
        <w:jc w:val="both"/>
        <w:rPr>
          <w:color w:val="000000" w:themeColor="text1"/>
          <w:lang w:val="en-US"/>
        </w:rPr>
      </w:pPr>
      <w:r w:rsidRPr="00BD333D">
        <w:rPr>
          <w:color w:val="000000" w:themeColor="text1"/>
          <w:lang w:val="en-US"/>
        </w:rPr>
        <w:t xml:space="preserve">Piniel, K., &amp; Zólyomi, A. (2022). Gender differences in foreign language classroom anxiety: Results of a meta-analysis. </w:t>
      </w:r>
      <w:r w:rsidRPr="00BD333D">
        <w:rPr>
          <w:rStyle w:val="Accentuation"/>
          <w:color w:val="000000" w:themeColor="text1"/>
          <w:lang w:val="en-US"/>
        </w:rPr>
        <w:t>Studies in Second Language Learning and Teaching, 12</w:t>
      </w:r>
      <w:r w:rsidRPr="00BD333D">
        <w:rPr>
          <w:color w:val="000000" w:themeColor="text1"/>
          <w:lang w:val="en-US"/>
        </w:rPr>
        <w:t xml:space="preserve">(2), 173–203. </w:t>
      </w:r>
      <w:hyperlink r:id="rId34" w:tgtFrame="_new" w:history="1">
        <w:r w:rsidRPr="00BD333D">
          <w:rPr>
            <w:rStyle w:val="Lienhypertexte"/>
            <w:color w:val="000000" w:themeColor="text1"/>
            <w:u w:val="none"/>
            <w:lang w:val="en-US"/>
          </w:rPr>
          <w:t>https://doi.org/10.14746/ssllt.2022.12.2.2</w:t>
        </w:r>
      </w:hyperlink>
    </w:p>
    <w:p w14:paraId="320B22EB"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Piske, T., MacKay, I., &amp; Flege, J. (2001). Factors affecting degree of foreign accent in an L2: A review.</w:t>
      </w:r>
      <w:r w:rsidRPr="00D150E0">
        <w:rPr>
          <w:rStyle w:val="apple-converted-space"/>
          <w:color w:val="000000" w:themeColor="text1"/>
          <w:lang w:val="en-US"/>
        </w:rPr>
        <w:t> </w:t>
      </w:r>
      <w:r w:rsidRPr="00D150E0">
        <w:rPr>
          <w:rStyle w:val="Accentuation"/>
          <w:color w:val="000000" w:themeColor="text1"/>
        </w:rPr>
        <w:t>Journal of Phonetics, 29</w:t>
      </w:r>
      <w:r w:rsidRPr="00D150E0">
        <w:rPr>
          <w:color w:val="000000" w:themeColor="text1"/>
        </w:rPr>
        <w:t xml:space="preserve">, 191-215. </w:t>
      </w:r>
      <w:hyperlink r:id="rId35" w:history="1">
        <w:r w:rsidRPr="00D150E0">
          <w:rPr>
            <w:rStyle w:val="Lienhypertexte"/>
            <w:color w:val="000000" w:themeColor="text1"/>
            <w:u w:val="none"/>
          </w:rPr>
          <w:t>https://doi.org/10.1006/jpho.2001.0134</w:t>
        </w:r>
      </w:hyperlink>
    </w:p>
    <w:p w14:paraId="70475029"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Presbitero, A. (2020). Foreign language skill, anxiety, cultural intelligence and individual task performance in global virtual teams: A cognitive perspective. </w:t>
      </w:r>
      <w:r w:rsidRPr="00D150E0">
        <w:rPr>
          <w:rStyle w:val="Accentuation"/>
          <w:color w:val="000000" w:themeColor="text1"/>
        </w:rPr>
        <w:t>Journal of International Management, 26</w:t>
      </w:r>
      <w:r w:rsidRPr="00D150E0">
        <w:rPr>
          <w:color w:val="000000" w:themeColor="text1"/>
        </w:rPr>
        <w:t xml:space="preserve">, 100729. </w:t>
      </w:r>
      <w:hyperlink r:id="rId36" w:tgtFrame="_new" w:history="1">
        <w:r w:rsidRPr="00D150E0">
          <w:rPr>
            <w:rStyle w:val="Lienhypertexte"/>
            <w:color w:val="000000" w:themeColor="text1"/>
            <w:u w:val="none"/>
          </w:rPr>
          <w:t>https://doi.org/10.1016/j.intman.2019.100729</w:t>
        </w:r>
      </w:hyperlink>
    </w:p>
    <w:p w14:paraId="7ADB16F9" w14:textId="4D2ECB84" w:rsidR="00FA62B8" w:rsidRPr="00427876"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Robinson, P. (2012). Individual differences, aptitude complexes, SLA processes, and aptitude test development. </w:t>
      </w:r>
      <w:r w:rsidR="002809FF">
        <w:rPr>
          <w:color w:val="000000" w:themeColor="text1"/>
          <w:lang w:val="en-US"/>
        </w:rPr>
        <w:t>Dans</w:t>
      </w:r>
      <w:r w:rsidRPr="00D150E0">
        <w:rPr>
          <w:color w:val="000000" w:themeColor="text1"/>
          <w:lang w:val="en-US"/>
        </w:rPr>
        <w:t xml:space="preserve"> M. </w:t>
      </w:r>
      <w:r w:rsidRPr="002809FF">
        <w:rPr>
          <w:color w:val="000000" w:themeColor="text1"/>
          <w:lang w:val="en-US"/>
        </w:rPr>
        <w:t>Pawlak (</w:t>
      </w:r>
      <w:r w:rsidR="002809FF" w:rsidRPr="002809FF">
        <w:rPr>
          <w:color w:val="000000" w:themeColor="text1"/>
          <w:lang w:val="en-US"/>
        </w:rPr>
        <w:t>dir</w:t>
      </w:r>
      <w:r w:rsidRPr="002809FF">
        <w:rPr>
          <w:color w:val="000000" w:themeColor="text1"/>
          <w:lang w:val="en-US"/>
        </w:rPr>
        <w:t>.),</w:t>
      </w:r>
      <w:r w:rsidRPr="002809FF">
        <w:rPr>
          <w:rStyle w:val="apple-converted-space"/>
          <w:color w:val="000000" w:themeColor="text1"/>
          <w:lang w:val="en-US"/>
        </w:rPr>
        <w:t> </w:t>
      </w:r>
      <w:r w:rsidRPr="002809FF">
        <w:rPr>
          <w:rStyle w:val="Accentuation"/>
          <w:color w:val="000000" w:themeColor="text1"/>
          <w:lang w:val="en-US"/>
        </w:rPr>
        <w:t>New</w:t>
      </w:r>
      <w:r w:rsidRPr="00D150E0">
        <w:rPr>
          <w:rStyle w:val="Accentuation"/>
          <w:color w:val="000000" w:themeColor="text1"/>
          <w:lang w:val="en-US"/>
        </w:rPr>
        <w:t xml:space="preserve"> perspectives on individual differences in language learning and teaching</w:t>
      </w:r>
      <w:r w:rsidRPr="00D150E0">
        <w:rPr>
          <w:rStyle w:val="apple-converted-space"/>
          <w:color w:val="000000" w:themeColor="text1"/>
          <w:lang w:val="en-US"/>
        </w:rPr>
        <w:t> </w:t>
      </w:r>
      <w:r w:rsidRPr="00D150E0">
        <w:rPr>
          <w:color w:val="000000" w:themeColor="text1"/>
          <w:lang w:val="en-US"/>
        </w:rPr>
        <w:t xml:space="preserve">(pp. 57-75). </w:t>
      </w:r>
      <w:r w:rsidRPr="00427876">
        <w:rPr>
          <w:color w:val="000000" w:themeColor="text1"/>
          <w:lang w:val="en-US"/>
        </w:rPr>
        <w:t xml:space="preserve">Springer-Verlag. </w:t>
      </w:r>
      <w:hyperlink r:id="rId37" w:history="1">
        <w:r w:rsidRPr="00427876">
          <w:rPr>
            <w:rStyle w:val="Lienhypertexte"/>
            <w:color w:val="000000" w:themeColor="text1"/>
            <w:u w:val="none"/>
            <w:lang w:val="en-US"/>
          </w:rPr>
          <w:t>https://doi.org/10.1007/978-3-642-20850-8_4</w:t>
        </w:r>
      </w:hyperlink>
    </w:p>
    <w:p w14:paraId="420D45D1" w14:textId="7777777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Russell, V. (2020). Language anxiety and the online learner. </w:t>
      </w:r>
      <w:r w:rsidRPr="00D150E0">
        <w:rPr>
          <w:rStyle w:val="Accentuation"/>
          <w:color w:val="000000" w:themeColor="text1"/>
          <w:lang w:val="en-US"/>
        </w:rPr>
        <w:t>Foreign Language Annals, 53</w:t>
      </w:r>
      <w:r w:rsidRPr="00D150E0">
        <w:rPr>
          <w:color w:val="000000" w:themeColor="text1"/>
          <w:lang w:val="en-US"/>
        </w:rPr>
        <w:t xml:space="preserve">, 338–352. </w:t>
      </w:r>
      <w:hyperlink r:id="rId38" w:tgtFrame="_new" w:history="1">
        <w:r w:rsidRPr="00D150E0">
          <w:rPr>
            <w:rStyle w:val="Lienhypertexte"/>
            <w:color w:val="000000" w:themeColor="text1"/>
            <w:u w:val="none"/>
            <w:lang w:val="en-US"/>
          </w:rPr>
          <w:t>https://doi.org/10.1111/flan.12461</w:t>
        </w:r>
      </w:hyperlink>
    </w:p>
    <w:p w14:paraId="123C4A68" w14:textId="7777777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Saito, K. (2021). What characterizes comprehensible and native‐like pronunciation among English‐as‐a‐Second‐Language speakers? Meta‐analyses of phonological, rater, and instructional factors. </w:t>
      </w:r>
      <w:r w:rsidRPr="00D150E0">
        <w:rPr>
          <w:rStyle w:val="Accentuation"/>
          <w:color w:val="000000" w:themeColor="text1"/>
          <w:lang w:val="en-US"/>
        </w:rPr>
        <w:t>TESOL Quarterly, 55</w:t>
      </w:r>
      <w:r w:rsidRPr="00D150E0">
        <w:rPr>
          <w:color w:val="000000" w:themeColor="text1"/>
          <w:lang w:val="en-US"/>
        </w:rPr>
        <w:t xml:space="preserve">(3), 866–900. </w:t>
      </w:r>
      <w:hyperlink r:id="rId39" w:history="1">
        <w:r w:rsidRPr="00D150E0">
          <w:rPr>
            <w:rStyle w:val="Lienhypertexte"/>
            <w:color w:val="000000" w:themeColor="text1"/>
            <w:u w:val="none"/>
            <w:lang w:val="en-US"/>
          </w:rPr>
          <w:t>https://doi.org/10.1002/tesq.3027</w:t>
        </w:r>
      </w:hyperlink>
    </w:p>
    <w:p w14:paraId="2DFF2557" w14:textId="7777777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Saito, K., Uchihara, T., Takizawa, K., &amp; Suzukida, Y. (2023). Individual differences in L2 listening proficiency revisited: Roles of form, meaning, and use aspects of phonological </w:t>
      </w:r>
      <w:r w:rsidRPr="00D150E0">
        <w:rPr>
          <w:color w:val="000000" w:themeColor="text1"/>
          <w:lang w:val="en-US"/>
        </w:rPr>
        <w:lastRenderedPageBreak/>
        <w:t xml:space="preserve">vocabulary knowledge. </w:t>
      </w:r>
      <w:r w:rsidRPr="00427876">
        <w:rPr>
          <w:i/>
          <w:iCs/>
          <w:color w:val="000000" w:themeColor="text1"/>
          <w:lang w:val="en-US"/>
        </w:rPr>
        <w:t>Studies in Second Language Acquisition</w:t>
      </w:r>
      <w:r w:rsidRPr="00427876">
        <w:rPr>
          <w:color w:val="000000" w:themeColor="text1"/>
          <w:lang w:val="en-US"/>
        </w:rPr>
        <w:t xml:space="preserve">. </w:t>
      </w:r>
      <w:hyperlink r:id="rId40" w:tgtFrame="_new" w:history="1">
        <w:r w:rsidRPr="00D150E0">
          <w:rPr>
            <w:color w:val="000000" w:themeColor="text1"/>
          </w:rPr>
          <w:t>https://doi.org/10.1017/s027226312300044x</w:t>
        </w:r>
      </w:hyperlink>
    </w:p>
    <w:p w14:paraId="30483EDE" w14:textId="77777777" w:rsidR="00FA62B8" w:rsidRPr="00D150E0"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Schwab, S., Etter, F., Kamber, J., Mouthon, M., Rogenmoser, L., Jost, L. B., &amp; Annoni, J.-M. (2024). The influence of linguistic and cognitive background on word stress processing in an unknown language. </w:t>
      </w:r>
      <w:r w:rsidRPr="00D150E0">
        <w:rPr>
          <w:rStyle w:val="Accentuation"/>
          <w:color w:val="000000" w:themeColor="text1"/>
          <w:lang w:val="en-US"/>
        </w:rPr>
        <w:t>Journal of Second Language Pronunciation</w:t>
      </w:r>
      <w:r w:rsidRPr="00D150E0">
        <w:rPr>
          <w:color w:val="000000" w:themeColor="text1"/>
          <w:lang w:val="en-US"/>
        </w:rPr>
        <w:t xml:space="preserve">. Advance online publication. </w:t>
      </w:r>
      <w:hyperlink r:id="rId41" w:tgtFrame="_new" w:history="1">
        <w:r w:rsidRPr="00D150E0">
          <w:rPr>
            <w:rStyle w:val="Lienhypertexte"/>
            <w:color w:val="000000" w:themeColor="text1"/>
            <w:u w:val="none"/>
            <w:lang w:val="en-US"/>
          </w:rPr>
          <w:t>https://doi.org/10.1075/jslp.23028.sch</w:t>
        </w:r>
      </w:hyperlink>
    </w:p>
    <w:p w14:paraId="5EA09055" w14:textId="4BB33D02" w:rsidR="00FA62B8" w:rsidRPr="00427876" w:rsidRDefault="00FA62B8" w:rsidP="003A453A">
      <w:pPr>
        <w:snapToGrid w:val="0"/>
        <w:spacing w:line="360" w:lineRule="auto"/>
        <w:contextualSpacing/>
        <w:jc w:val="both"/>
        <w:rPr>
          <w:color w:val="000000" w:themeColor="text1"/>
          <w:lang w:val="en-US"/>
        </w:rPr>
      </w:pPr>
      <w:r w:rsidRPr="00D150E0">
        <w:rPr>
          <w:color w:val="000000" w:themeColor="text1"/>
          <w:lang w:val="en-US"/>
        </w:rPr>
        <w:t xml:space="preserve">Skehan, P. (2012). Language aptitude. </w:t>
      </w:r>
      <w:r w:rsidR="002809FF">
        <w:rPr>
          <w:color w:val="000000" w:themeColor="text1"/>
          <w:lang w:val="en-US"/>
        </w:rPr>
        <w:t>Dans</w:t>
      </w:r>
      <w:r w:rsidRPr="00D150E0">
        <w:rPr>
          <w:color w:val="000000" w:themeColor="text1"/>
          <w:lang w:val="en-US"/>
        </w:rPr>
        <w:t xml:space="preserve"> S. Gass &amp; A. Mackey </w:t>
      </w:r>
      <w:r w:rsidRPr="002809FF">
        <w:rPr>
          <w:color w:val="000000" w:themeColor="text1"/>
          <w:lang w:val="en-US"/>
        </w:rPr>
        <w:t>(</w:t>
      </w:r>
      <w:r w:rsidR="002809FF" w:rsidRPr="002809FF">
        <w:rPr>
          <w:color w:val="000000" w:themeColor="text1"/>
          <w:lang w:val="en-US"/>
        </w:rPr>
        <w:t>dirs</w:t>
      </w:r>
      <w:r w:rsidRPr="002809FF">
        <w:rPr>
          <w:color w:val="000000" w:themeColor="text1"/>
          <w:lang w:val="en-US"/>
        </w:rPr>
        <w:t>.),</w:t>
      </w:r>
      <w:r w:rsidRPr="002809FF">
        <w:rPr>
          <w:rStyle w:val="apple-converted-space"/>
          <w:color w:val="000000" w:themeColor="text1"/>
          <w:lang w:val="en-US"/>
        </w:rPr>
        <w:t> </w:t>
      </w:r>
      <w:r w:rsidRPr="002809FF">
        <w:rPr>
          <w:rStyle w:val="Accentuation"/>
          <w:color w:val="000000" w:themeColor="text1"/>
          <w:lang w:val="en-US"/>
        </w:rPr>
        <w:t>The Routledge</w:t>
      </w:r>
      <w:r w:rsidRPr="00D150E0">
        <w:rPr>
          <w:rStyle w:val="Accentuation"/>
          <w:color w:val="000000" w:themeColor="text1"/>
          <w:lang w:val="en-US"/>
        </w:rPr>
        <w:t xml:space="preserve"> handbook of second language acquisition</w:t>
      </w:r>
      <w:r w:rsidRPr="00D150E0">
        <w:rPr>
          <w:rStyle w:val="apple-converted-space"/>
          <w:color w:val="000000" w:themeColor="text1"/>
          <w:lang w:val="en-US"/>
        </w:rPr>
        <w:t> </w:t>
      </w:r>
      <w:r w:rsidRPr="00D150E0">
        <w:rPr>
          <w:color w:val="000000" w:themeColor="text1"/>
          <w:lang w:val="en-US"/>
        </w:rPr>
        <w:t xml:space="preserve">(pp. 381-395). </w:t>
      </w:r>
      <w:r w:rsidRPr="00427876">
        <w:rPr>
          <w:color w:val="000000" w:themeColor="text1"/>
          <w:lang w:val="en-US"/>
        </w:rPr>
        <w:t xml:space="preserve">Routledge. </w:t>
      </w:r>
      <w:hyperlink r:id="rId42" w:history="1">
        <w:r w:rsidRPr="00427876">
          <w:rPr>
            <w:rStyle w:val="Lienhypertexte"/>
            <w:color w:val="000000" w:themeColor="text1"/>
            <w:u w:val="none"/>
            <w:lang w:val="en-US"/>
          </w:rPr>
          <w:t>https://doi.org/10.4324/9780203808184-29</w:t>
        </w:r>
      </w:hyperlink>
    </w:p>
    <w:p w14:paraId="50CDE3DF" w14:textId="77777777" w:rsidR="00FA62B8" w:rsidRDefault="00FA62B8" w:rsidP="003A453A">
      <w:pPr>
        <w:snapToGrid w:val="0"/>
        <w:spacing w:line="360" w:lineRule="auto"/>
        <w:contextualSpacing/>
        <w:jc w:val="both"/>
        <w:rPr>
          <w:color w:val="000000" w:themeColor="text1"/>
        </w:rPr>
      </w:pPr>
      <w:r w:rsidRPr="00D150E0">
        <w:rPr>
          <w:color w:val="000000" w:themeColor="text1"/>
          <w:lang w:val="en-US"/>
        </w:rPr>
        <w:t xml:space="preserve">Smemoe, W., &amp; Haslam, P. (2013). Language learning strategies: The role of cognitive and metacognitive approaches. </w:t>
      </w:r>
      <w:r w:rsidRPr="00896244">
        <w:rPr>
          <w:rStyle w:val="Accentuation"/>
          <w:color w:val="000000" w:themeColor="text1"/>
          <w:lang w:val="en-US"/>
        </w:rPr>
        <w:t>Journal of Language and Learning, 11</w:t>
      </w:r>
      <w:r w:rsidRPr="00896244">
        <w:rPr>
          <w:color w:val="000000" w:themeColor="text1"/>
          <w:lang w:val="en-US"/>
        </w:rPr>
        <w:t>(1), 56-72.</w:t>
      </w:r>
    </w:p>
    <w:p w14:paraId="05ABB76F" w14:textId="77777777" w:rsidR="00FA62B8" w:rsidRPr="00494D2C" w:rsidRDefault="00FA62B8" w:rsidP="003A453A">
      <w:pPr>
        <w:snapToGrid w:val="0"/>
        <w:spacing w:line="360" w:lineRule="auto"/>
        <w:contextualSpacing/>
        <w:jc w:val="both"/>
        <w:rPr>
          <w:color w:val="000000" w:themeColor="text1"/>
        </w:rPr>
      </w:pPr>
      <w:r w:rsidRPr="00494D2C">
        <w:rPr>
          <w:lang w:val="en-US"/>
        </w:rPr>
        <w:t xml:space="preserve">Sparks, R. L., &amp; Alamer, A. (2022). Long-term impacts of L1 language skills on L2 anxiety: The mediating role of language aptitude and L2 achievement. </w:t>
      </w:r>
      <w:r w:rsidRPr="00427876">
        <w:rPr>
          <w:rStyle w:val="Accentuation"/>
          <w:lang w:val="en-US"/>
        </w:rPr>
        <w:t>Language Teaching Research</w:t>
      </w:r>
      <w:r w:rsidRPr="00427876">
        <w:rPr>
          <w:lang w:val="en-US"/>
        </w:rPr>
        <w:t xml:space="preserve">. </w:t>
      </w:r>
      <w:r>
        <w:t>Advance online publication. https://doi.org/10.1177/13621688221104392</w:t>
      </w:r>
    </w:p>
    <w:p w14:paraId="27A8D380" w14:textId="77777777" w:rsidR="00FA62B8" w:rsidRPr="007770B0" w:rsidRDefault="00FA62B8" w:rsidP="003A453A">
      <w:pPr>
        <w:snapToGrid w:val="0"/>
        <w:spacing w:line="360" w:lineRule="auto"/>
        <w:contextualSpacing/>
        <w:jc w:val="both"/>
        <w:rPr>
          <w:color w:val="000000" w:themeColor="text1"/>
        </w:rPr>
      </w:pPr>
      <w:r w:rsidRPr="007770B0">
        <w:rPr>
          <w:lang w:val="en-US"/>
        </w:rPr>
        <w:t xml:space="preserve">Sparks, R. L., Patton, J., &amp; Luebbers, J. (2019). L2 anxiety and the foreign language reading anxiety scale: Listening to the evidence. </w:t>
      </w:r>
      <w:r w:rsidRPr="007770B0">
        <w:rPr>
          <w:i/>
          <w:iCs/>
        </w:rPr>
        <w:t>Foreign Language Annals, 52</w:t>
      </w:r>
      <w:r w:rsidRPr="007770B0">
        <w:t>(1), 94–115. https://doi.org/10.1111/flan.12361</w:t>
      </w:r>
    </w:p>
    <w:p w14:paraId="12C6957E" w14:textId="5F6ACA35"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Strange, </w:t>
      </w:r>
      <w:r w:rsidRPr="002809FF">
        <w:rPr>
          <w:color w:val="000000" w:themeColor="text1"/>
          <w:lang w:val="en-US"/>
        </w:rPr>
        <w:t>W. (</w:t>
      </w:r>
      <w:r w:rsidR="002809FF" w:rsidRPr="002809FF">
        <w:rPr>
          <w:color w:val="000000" w:themeColor="text1"/>
          <w:lang w:val="en-US"/>
        </w:rPr>
        <w:t>dir</w:t>
      </w:r>
      <w:r w:rsidRPr="002809FF">
        <w:rPr>
          <w:color w:val="000000" w:themeColor="text1"/>
          <w:lang w:val="en-US"/>
        </w:rPr>
        <w:t>.). (1995).</w:t>
      </w:r>
      <w:r w:rsidRPr="00D150E0">
        <w:rPr>
          <w:rStyle w:val="apple-converted-space"/>
          <w:color w:val="000000" w:themeColor="text1"/>
          <w:lang w:val="en-US"/>
        </w:rPr>
        <w:t> </w:t>
      </w:r>
      <w:r w:rsidRPr="00D150E0">
        <w:rPr>
          <w:rStyle w:val="Accentuation"/>
          <w:color w:val="000000" w:themeColor="text1"/>
          <w:lang w:val="en-US"/>
        </w:rPr>
        <w:t>Speech perception and linguistic experience: Issues in cross-language research</w:t>
      </w:r>
      <w:r w:rsidRPr="00D150E0">
        <w:rPr>
          <w:color w:val="000000" w:themeColor="text1"/>
          <w:lang w:val="en-US"/>
        </w:rPr>
        <w:t xml:space="preserve">. </w:t>
      </w:r>
      <w:r w:rsidRPr="00D150E0">
        <w:rPr>
          <w:color w:val="000000" w:themeColor="text1"/>
        </w:rPr>
        <w:t>York Press.</w:t>
      </w:r>
    </w:p>
    <w:p w14:paraId="6761BAE5" w14:textId="77777777" w:rsidR="00FA62B8" w:rsidRPr="00D150E0" w:rsidRDefault="00FA62B8" w:rsidP="003A453A">
      <w:pPr>
        <w:snapToGrid w:val="0"/>
        <w:spacing w:line="360" w:lineRule="auto"/>
        <w:contextualSpacing/>
        <w:jc w:val="both"/>
        <w:rPr>
          <w:color w:val="000000" w:themeColor="text1"/>
        </w:rPr>
      </w:pPr>
      <w:r w:rsidRPr="00D150E0">
        <w:rPr>
          <w:color w:val="000000" w:themeColor="text1"/>
          <w:lang w:val="en-US"/>
        </w:rPr>
        <w:t xml:space="preserve">Wang, Y., &amp; Liu, F. (2023). Emotional intelligence and second/foreign language achievement: A meta-analytic review. </w:t>
      </w:r>
      <w:r w:rsidRPr="00D150E0">
        <w:rPr>
          <w:rStyle w:val="Accentuation"/>
          <w:color w:val="000000" w:themeColor="text1"/>
        </w:rPr>
        <w:t>Language Teaching Research</w:t>
      </w:r>
      <w:r w:rsidRPr="00D150E0">
        <w:rPr>
          <w:color w:val="000000" w:themeColor="text1"/>
        </w:rPr>
        <w:t xml:space="preserve">. Advance online publication. </w:t>
      </w:r>
      <w:hyperlink r:id="rId43" w:tgtFrame="_new" w:history="1">
        <w:r w:rsidRPr="00D150E0">
          <w:rPr>
            <w:rStyle w:val="Lienhypertexte"/>
            <w:color w:val="000000" w:themeColor="text1"/>
            <w:u w:val="none"/>
          </w:rPr>
          <w:t>https://doi.org/10.1177/13621688231152627</w:t>
        </w:r>
      </w:hyperlink>
    </w:p>
    <w:p w14:paraId="2B4BBEE8" w14:textId="77777777" w:rsidR="00FA62B8" w:rsidRDefault="00FA62B8" w:rsidP="003A453A">
      <w:pPr>
        <w:snapToGrid w:val="0"/>
        <w:spacing w:line="360" w:lineRule="auto"/>
        <w:contextualSpacing/>
        <w:jc w:val="both"/>
        <w:rPr>
          <w:rStyle w:val="Lienhypertexte"/>
          <w:color w:val="000000" w:themeColor="text1"/>
          <w:u w:val="none"/>
        </w:rPr>
      </w:pPr>
      <w:r w:rsidRPr="00D150E0">
        <w:rPr>
          <w:color w:val="000000" w:themeColor="text1"/>
          <w:lang w:val="nl-BE"/>
        </w:rPr>
        <w:t xml:space="preserve">Wen, Z., Biedroń, A., &amp; Skehan, P. (2017). </w:t>
      </w:r>
      <w:r w:rsidRPr="00D150E0">
        <w:rPr>
          <w:color w:val="000000" w:themeColor="text1"/>
          <w:lang w:val="en-US"/>
        </w:rPr>
        <w:t>Foreign language aptitude theory: Yesterday, today and tomorrow.</w:t>
      </w:r>
      <w:r w:rsidRPr="00D150E0">
        <w:rPr>
          <w:rStyle w:val="apple-converted-space"/>
          <w:color w:val="000000" w:themeColor="text1"/>
          <w:lang w:val="en-US"/>
        </w:rPr>
        <w:t> </w:t>
      </w:r>
      <w:r w:rsidRPr="00D150E0">
        <w:rPr>
          <w:rStyle w:val="Accentuation"/>
          <w:color w:val="000000" w:themeColor="text1"/>
        </w:rPr>
        <w:t>Language Teaching, 50</w:t>
      </w:r>
      <w:r w:rsidRPr="00D150E0">
        <w:rPr>
          <w:color w:val="000000" w:themeColor="text1"/>
        </w:rPr>
        <w:t xml:space="preserve">, 1-32. </w:t>
      </w:r>
      <w:hyperlink r:id="rId44" w:history="1">
        <w:r w:rsidRPr="00D150E0">
          <w:rPr>
            <w:rStyle w:val="Lienhypertexte"/>
            <w:color w:val="000000" w:themeColor="text1"/>
            <w:u w:val="none"/>
          </w:rPr>
          <w:t>https://doi.org/10.1017/S0261444816000276</w:t>
        </w:r>
      </w:hyperlink>
    </w:p>
    <w:p w14:paraId="13E78A59" w14:textId="049A9870" w:rsidR="00FA62B8" w:rsidRDefault="00FA62B8" w:rsidP="003A453A">
      <w:pPr>
        <w:snapToGrid w:val="0"/>
        <w:spacing w:line="360" w:lineRule="auto"/>
        <w:contextualSpacing/>
        <w:jc w:val="both"/>
        <w:rPr>
          <w:color w:val="000000" w:themeColor="text1"/>
        </w:rPr>
      </w:pPr>
      <w:r w:rsidRPr="00C94B7E">
        <w:rPr>
          <w:lang w:val="en-US"/>
        </w:rPr>
        <w:t xml:space="preserve">Wen, Z., Skehan, P., &amp; Sparks, R. (2022). Language aptitude research: From testing to theory and practice. </w:t>
      </w:r>
      <w:r w:rsidR="002809FF">
        <w:rPr>
          <w:lang w:val="en-US"/>
        </w:rPr>
        <w:t>Dans</w:t>
      </w:r>
      <w:r w:rsidRPr="00C94B7E">
        <w:rPr>
          <w:lang w:val="en-US"/>
        </w:rPr>
        <w:t xml:space="preserve"> Z. Wen, P. Skehan, &amp; R. </w:t>
      </w:r>
      <w:r w:rsidRPr="002809FF">
        <w:rPr>
          <w:lang w:val="en-US"/>
        </w:rPr>
        <w:t>Sparks (</w:t>
      </w:r>
      <w:r w:rsidR="002809FF" w:rsidRPr="002809FF">
        <w:rPr>
          <w:lang w:val="en-US"/>
        </w:rPr>
        <w:t>dirs</w:t>
      </w:r>
      <w:r w:rsidRPr="002809FF">
        <w:rPr>
          <w:lang w:val="en-US"/>
        </w:rPr>
        <w:t xml:space="preserve">.), </w:t>
      </w:r>
      <w:r w:rsidRPr="002809FF">
        <w:rPr>
          <w:i/>
          <w:iCs/>
          <w:lang w:val="en-US"/>
        </w:rPr>
        <w:t>Language</w:t>
      </w:r>
      <w:r w:rsidRPr="00C94B7E">
        <w:rPr>
          <w:i/>
          <w:iCs/>
          <w:lang w:val="en-US"/>
        </w:rPr>
        <w:t xml:space="preserve"> aptitude theory and practice</w:t>
      </w:r>
      <w:r w:rsidRPr="00C94B7E">
        <w:rPr>
          <w:lang w:val="en-US"/>
        </w:rPr>
        <w:t xml:space="preserve"> (pp. 1–21). </w:t>
      </w:r>
      <w:r w:rsidRPr="006776BC">
        <w:t>Cambridge University Press.</w:t>
      </w:r>
    </w:p>
    <w:p w14:paraId="34B3376C" w14:textId="77777777" w:rsidR="00FA62B8" w:rsidRPr="00E74929" w:rsidRDefault="00FA62B8" w:rsidP="003A453A">
      <w:pPr>
        <w:snapToGrid w:val="0"/>
        <w:spacing w:line="360" w:lineRule="auto"/>
        <w:contextualSpacing/>
        <w:jc w:val="both"/>
        <w:rPr>
          <w:color w:val="000000" w:themeColor="text1"/>
          <w:lang w:val="en-US"/>
        </w:rPr>
      </w:pPr>
      <w:r w:rsidRPr="00E74929">
        <w:rPr>
          <w:lang w:val="en-US"/>
        </w:rPr>
        <w:t xml:space="preserve">Wilson, I., &amp; Gick, B. (2014). Bilinguals use language-specific articulatory settings. </w:t>
      </w:r>
      <w:r w:rsidRPr="00E74929">
        <w:rPr>
          <w:rStyle w:val="Accentuation"/>
          <w:lang w:val="en-US"/>
        </w:rPr>
        <w:t>Journal of Speech, Language, and Hearing Research</w:t>
      </w:r>
      <w:r w:rsidRPr="00E74929">
        <w:rPr>
          <w:lang w:val="en-US"/>
        </w:rPr>
        <w:t xml:space="preserve">, 57(2), 361–373. </w:t>
      </w:r>
      <w:hyperlink r:id="rId45" w:tgtFrame="_new" w:history="1">
        <w:r w:rsidRPr="00E74929">
          <w:rPr>
            <w:rStyle w:val="Lienhypertexte"/>
            <w:color w:val="000000" w:themeColor="text1"/>
            <w:u w:val="none"/>
            <w:lang w:val="en-US"/>
          </w:rPr>
          <w:t>https://doi.org/10.1044/2013_JSLHR-S-12-0345</w:t>
        </w:r>
      </w:hyperlink>
    </w:p>
    <w:p w14:paraId="5A6201D3" w14:textId="77777777" w:rsidR="00FA62B8" w:rsidRPr="003A453A" w:rsidRDefault="00FA62B8" w:rsidP="003A453A">
      <w:pPr>
        <w:snapToGrid w:val="0"/>
        <w:spacing w:line="360" w:lineRule="auto"/>
        <w:jc w:val="both"/>
        <w:rPr>
          <w:color w:val="000000" w:themeColor="text1"/>
        </w:rPr>
      </w:pPr>
      <w:r w:rsidRPr="003A453A">
        <w:rPr>
          <w:color w:val="000000" w:themeColor="text1"/>
          <w:lang w:val="en-US"/>
        </w:rPr>
        <w:t xml:space="preserve">Xu, Y., &amp; Xie, Z. (2024). Exploring the predictors of foreign language anxiety: The roles of language proficiency, language exposure, and cognitive control. </w:t>
      </w:r>
      <w:r w:rsidRPr="003A453A">
        <w:rPr>
          <w:i/>
          <w:iCs/>
          <w:color w:val="000000" w:themeColor="text1"/>
        </w:rPr>
        <w:t>Frontiers in Psychiatry, 15</w:t>
      </w:r>
      <w:r w:rsidRPr="003A453A">
        <w:rPr>
          <w:color w:val="000000" w:themeColor="text1"/>
        </w:rPr>
        <w:t xml:space="preserve">, 1492701. </w:t>
      </w:r>
      <w:hyperlink r:id="rId46" w:tgtFrame="_new" w:history="1">
        <w:r w:rsidRPr="003A453A">
          <w:rPr>
            <w:color w:val="000000" w:themeColor="text1"/>
          </w:rPr>
          <w:t>https://doi.org/10.3389/fpsyt.2024.1492701</w:t>
        </w:r>
      </w:hyperlink>
    </w:p>
    <w:p w14:paraId="7CECE273" w14:textId="77777777" w:rsidR="00FA62B8" w:rsidRPr="003A453A" w:rsidRDefault="00FA62B8" w:rsidP="003A453A">
      <w:pPr>
        <w:snapToGrid w:val="0"/>
        <w:spacing w:line="360" w:lineRule="auto"/>
        <w:jc w:val="both"/>
        <w:rPr>
          <w:color w:val="000000" w:themeColor="text1"/>
          <w:lang w:val="en-US"/>
        </w:rPr>
      </w:pPr>
      <w:r w:rsidRPr="003A453A">
        <w:rPr>
          <w:color w:val="000000" w:themeColor="text1"/>
          <w:lang w:val="en-US"/>
        </w:rPr>
        <w:lastRenderedPageBreak/>
        <w:t xml:space="preserve">Yao, Y., He, M., Chen, F., &amp; Zhu, J. (2025). A meta-analysis of second language phonetic training: Exploring overall effect and moderating factors. </w:t>
      </w:r>
      <w:r w:rsidRPr="003A453A">
        <w:rPr>
          <w:rStyle w:val="Accentuation"/>
          <w:color w:val="000000" w:themeColor="text1"/>
          <w:lang w:val="en-US"/>
        </w:rPr>
        <w:t>Journal of Speech, Language, and Hearing Research, 68</w:t>
      </w:r>
      <w:r w:rsidRPr="003A453A">
        <w:rPr>
          <w:color w:val="000000" w:themeColor="text1"/>
          <w:lang w:val="en-US"/>
        </w:rPr>
        <w:t>(4), 1784–1802. https://doi.org/10.1044/2024_JSLHR-24-00432</w:t>
      </w:r>
    </w:p>
    <w:p w14:paraId="26B85E13" w14:textId="77777777" w:rsidR="00FA62B8" w:rsidRPr="003A453A" w:rsidRDefault="00FA62B8" w:rsidP="003A453A">
      <w:pPr>
        <w:snapToGrid w:val="0"/>
        <w:spacing w:line="360" w:lineRule="auto"/>
        <w:jc w:val="both"/>
        <w:rPr>
          <w:color w:val="000000" w:themeColor="text1"/>
        </w:rPr>
      </w:pPr>
      <w:r w:rsidRPr="003A453A">
        <w:rPr>
          <w:color w:val="000000" w:themeColor="text1"/>
          <w:lang w:val="nl-BE"/>
        </w:rPr>
        <w:t xml:space="preserve">Zhang, X., Cheng, B., Zou, Y., Li, X., &amp; Zhang, Y. (2023). </w:t>
      </w:r>
      <w:r w:rsidRPr="003A453A">
        <w:rPr>
          <w:rStyle w:val="Accentuation"/>
          <w:color w:val="000000" w:themeColor="text1"/>
          <w:lang w:val="en-US"/>
        </w:rPr>
        <w:t>Cognitive factors in nonnative phonetic learning: Impacts of inhibitory control and working memory on the benefits and costs of talker variability.</w:t>
      </w:r>
      <w:r w:rsidRPr="003A453A">
        <w:rPr>
          <w:color w:val="000000" w:themeColor="text1"/>
          <w:lang w:val="en-US"/>
        </w:rPr>
        <w:t xml:space="preserve"> </w:t>
      </w:r>
      <w:r w:rsidRPr="003A453A">
        <w:rPr>
          <w:color w:val="000000" w:themeColor="text1"/>
        </w:rPr>
        <w:t xml:space="preserve">Journal of Phonetics, 100, 101266. </w:t>
      </w:r>
      <w:hyperlink r:id="rId47" w:tgtFrame="_new" w:history="1">
        <w:r w:rsidRPr="003A453A">
          <w:rPr>
            <w:rStyle w:val="Lienhypertexte"/>
            <w:color w:val="000000" w:themeColor="text1"/>
            <w:u w:val="none"/>
          </w:rPr>
          <w:t>https://doi.org/10.1016/j.wocn.2023.101266</w:t>
        </w:r>
      </w:hyperlink>
    </w:p>
    <w:p w14:paraId="09FDC1F7" w14:textId="77777777" w:rsidR="00FA62B8" w:rsidRPr="003A453A" w:rsidRDefault="00FA62B8" w:rsidP="003A453A">
      <w:pPr>
        <w:snapToGrid w:val="0"/>
        <w:spacing w:line="360" w:lineRule="auto"/>
        <w:jc w:val="both"/>
        <w:rPr>
          <w:color w:val="000000" w:themeColor="text1"/>
        </w:rPr>
      </w:pPr>
      <w:r w:rsidRPr="003A453A">
        <w:rPr>
          <w:rStyle w:val="lev"/>
          <w:b w:val="0"/>
          <w:bCs w:val="0"/>
          <w:color w:val="000000" w:themeColor="text1"/>
          <w:lang w:val="en-US"/>
        </w:rPr>
        <w:t>Zhang, L. J., Cohen, A. D., &amp; Macaro, E. (2009).</w:t>
      </w:r>
      <w:r w:rsidRPr="003A453A">
        <w:rPr>
          <w:b/>
          <w:bCs/>
          <w:color w:val="000000" w:themeColor="text1"/>
          <w:lang w:val="en-US"/>
        </w:rPr>
        <w:t xml:space="preserve"> </w:t>
      </w:r>
      <w:r w:rsidRPr="003A453A">
        <w:rPr>
          <w:color w:val="000000" w:themeColor="text1"/>
          <w:lang w:val="en-US"/>
        </w:rPr>
        <w:t xml:space="preserve">Language learner strategies: Thirty years of research and practice. </w:t>
      </w:r>
      <w:r w:rsidRPr="003A453A">
        <w:rPr>
          <w:rStyle w:val="Accentuation"/>
          <w:color w:val="000000" w:themeColor="text1"/>
        </w:rPr>
        <w:t>Applied Linguistics, 30</w:t>
      </w:r>
      <w:r w:rsidRPr="003A453A">
        <w:rPr>
          <w:color w:val="000000" w:themeColor="text1"/>
        </w:rPr>
        <w:t xml:space="preserve">(4), 619–622. </w:t>
      </w:r>
      <w:hyperlink r:id="rId48" w:tgtFrame="_new" w:history="1">
        <w:r w:rsidRPr="003A453A">
          <w:rPr>
            <w:rStyle w:val="Lienhypertexte"/>
            <w:color w:val="000000" w:themeColor="text1"/>
            <w:u w:val="none"/>
          </w:rPr>
          <w:t>https://doi.org/10.1093/applin/amp050</w:t>
        </w:r>
      </w:hyperlink>
    </w:p>
    <w:p w14:paraId="6706EA02" w14:textId="77777777" w:rsidR="00FA62B8" w:rsidRPr="003A453A" w:rsidRDefault="00FA62B8" w:rsidP="003A453A">
      <w:pPr>
        <w:snapToGrid w:val="0"/>
        <w:spacing w:line="360" w:lineRule="auto"/>
        <w:jc w:val="both"/>
        <w:rPr>
          <w:color w:val="000000" w:themeColor="text1"/>
        </w:rPr>
      </w:pPr>
      <w:r w:rsidRPr="003A453A">
        <w:rPr>
          <w:color w:val="000000" w:themeColor="text1"/>
          <w:lang w:val="nl-BE"/>
        </w:rPr>
        <w:t xml:space="preserve">Zhang, H., Dai, Y., &amp; Wang, Y. (2020). </w:t>
      </w:r>
      <w:r w:rsidRPr="003A453A">
        <w:rPr>
          <w:color w:val="000000" w:themeColor="text1"/>
          <w:lang w:val="en-US"/>
        </w:rPr>
        <w:t xml:space="preserve">Motivation and second foreign language proficiency: The mediating role of foreign language enjoyment. </w:t>
      </w:r>
      <w:r w:rsidRPr="003A453A">
        <w:rPr>
          <w:rStyle w:val="Accentuation"/>
          <w:color w:val="000000" w:themeColor="text1"/>
        </w:rPr>
        <w:t>Sustainability, 12</w:t>
      </w:r>
      <w:r w:rsidRPr="003A453A">
        <w:rPr>
          <w:color w:val="000000" w:themeColor="text1"/>
        </w:rPr>
        <w:t xml:space="preserve">(4), 1302. </w:t>
      </w:r>
      <w:hyperlink r:id="rId49" w:tgtFrame="_new" w:history="1">
        <w:r w:rsidRPr="003A453A">
          <w:rPr>
            <w:rStyle w:val="Lienhypertexte"/>
            <w:color w:val="000000" w:themeColor="text1"/>
            <w:u w:val="none"/>
          </w:rPr>
          <w:t>https://doi.org/10.3390/su12041302</w:t>
        </w:r>
      </w:hyperlink>
    </w:p>
    <w:p w14:paraId="7026EA8F" w14:textId="77A60A2A" w:rsidR="004B683D" w:rsidRPr="003A453A" w:rsidRDefault="00FA62B8" w:rsidP="003A453A">
      <w:pPr>
        <w:snapToGrid w:val="0"/>
        <w:spacing w:line="360" w:lineRule="auto"/>
        <w:jc w:val="both"/>
        <w:rPr>
          <w:color w:val="000000" w:themeColor="text1"/>
          <w:lang w:val="nl-BE"/>
        </w:rPr>
      </w:pPr>
      <w:r w:rsidRPr="003A453A">
        <w:rPr>
          <w:color w:val="000000" w:themeColor="text1"/>
          <w:lang w:val="nl-BE"/>
        </w:rPr>
        <w:t xml:space="preserve">Zhang, X., Zou, Y., Cheng, B., &amp; Zhang, Y. (2025). </w:t>
      </w:r>
      <w:r w:rsidRPr="003A453A">
        <w:rPr>
          <w:rStyle w:val="Accentuation"/>
          <w:color w:val="000000" w:themeColor="text1"/>
          <w:lang w:val="en-US"/>
        </w:rPr>
        <w:t>Determining optimal talker variability for nonnative speech training: A systematic review and Bayesian network meta-analysis</w:t>
      </w:r>
      <w:r w:rsidRPr="003A453A">
        <w:rPr>
          <w:color w:val="000000" w:themeColor="text1"/>
          <w:lang w:val="en-US"/>
        </w:rPr>
        <w:t xml:space="preserve"> [Preprint]. OSF. </w:t>
      </w:r>
      <w:hyperlink r:id="rId50" w:tgtFrame="_new" w:history="1">
        <w:r w:rsidRPr="003A453A">
          <w:rPr>
            <w:rStyle w:val="Lienhypertexte"/>
            <w:color w:val="000000" w:themeColor="text1"/>
            <w:u w:val="none"/>
            <w:lang w:val="en-US"/>
          </w:rPr>
          <w:t>https://osf.io/uvy62</w:t>
        </w:r>
      </w:hyperlink>
    </w:p>
    <w:sectPr w:rsidR="004B683D" w:rsidRPr="003A453A" w:rsidSect="00924CAE">
      <w:footerReference w:type="even" r:id="rId51"/>
      <w:footerReference w:type="default" r:id="rId5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6A72F" w14:textId="77777777" w:rsidR="00E33A20" w:rsidRDefault="00E33A20" w:rsidP="00731284">
      <w:r>
        <w:separator/>
      </w:r>
    </w:p>
  </w:endnote>
  <w:endnote w:type="continuationSeparator" w:id="0">
    <w:p w14:paraId="7EC925C6" w14:textId="77777777" w:rsidR="00E33A20" w:rsidRDefault="00E33A20" w:rsidP="00731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895704269"/>
      <w:docPartObj>
        <w:docPartGallery w:val="Page Numbers (Bottom of Page)"/>
        <w:docPartUnique/>
      </w:docPartObj>
    </w:sdtPr>
    <w:sdtEndPr>
      <w:rPr>
        <w:rStyle w:val="Numrodepage"/>
      </w:rPr>
    </w:sdtEndPr>
    <w:sdtContent>
      <w:p w14:paraId="75FF1EAD" w14:textId="1CE44D5B" w:rsidR="00F71F97" w:rsidRDefault="00F71F97" w:rsidP="0080777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12F7DEF" w14:textId="77777777" w:rsidR="00F71F97" w:rsidRDefault="00F71F97" w:rsidP="00F71F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359283088"/>
      <w:docPartObj>
        <w:docPartGallery w:val="Page Numbers (Bottom of Page)"/>
        <w:docPartUnique/>
      </w:docPartObj>
    </w:sdtPr>
    <w:sdtEndPr>
      <w:rPr>
        <w:rStyle w:val="Numrodepage"/>
      </w:rPr>
    </w:sdtEndPr>
    <w:sdtContent>
      <w:p w14:paraId="45CA6F8D" w14:textId="42C021F0" w:rsidR="00F71F97" w:rsidRDefault="00F71F97" w:rsidP="0080777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F54DDB7" w14:textId="77777777" w:rsidR="00F71F97" w:rsidRDefault="00F71F97" w:rsidP="00F71F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D613C" w14:textId="77777777" w:rsidR="00E33A20" w:rsidRDefault="00E33A20" w:rsidP="00731284">
      <w:r>
        <w:separator/>
      </w:r>
    </w:p>
  </w:footnote>
  <w:footnote w:type="continuationSeparator" w:id="0">
    <w:p w14:paraId="2202F6D2" w14:textId="77777777" w:rsidR="00E33A20" w:rsidRDefault="00E33A20" w:rsidP="00731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0C80"/>
    <w:multiLevelType w:val="multilevel"/>
    <w:tmpl w:val="3ADA4B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9034FFC"/>
    <w:multiLevelType w:val="hybridMultilevel"/>
    <w:tmpl w:val="4B58CE4E"/>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905112C"/>
    <w:multiLevelType w:val="multilevel"/>
    <w:tmpl w:val="CB005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01AF4"/>
    <w:multiLevelType w:val="multilevel"/>
    <w:tmpl w:val="90D0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05E87"/>
    <w:multiLevelType w:val="multilevel"/>
    <w:tmpl w:val="3ADA4B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7AE07AB"/>
    <w:multiLevelType w:val="hybridMultilevel"/>
    <w:tmpl w:val="D286FB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2E30A3"/>
    <w:multiLevelType w:val="hybridMultilevel"/>
    <w:tmpl w:val="34A86F86"/>
    <w:lvl w:ilvl="0" w:tplc="CDF6D74C">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E55738"/>
    <w:multiLevelType w:val="hybridMultilevel"/>
    <w:tmpl w:val="4DF070D8"/>
    <w:lvl w:ilvl="0" w:tplc="BC4C4CD0">
      <w:start w:val="2"/>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8" w15:restartNumberingAfterBreak="0">
    <w:nsid w:val="42200E50"/>
    <w:multiLevelType w:val="multilevel"/>
    <w:tmpl w:val="3ADA4B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97D7854"/>
    <w:multiLevelType w:val="multilevel"/>
    <w:tmpl w:val="3ADA4B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77CC1761"/>
    <w:multiLevelType w:val="multilevel"/>
    <w:tmpl w:val="58C040D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97136984">
    <w:abstractNumId w:val="0"/>
  </w:num>
  <w:num w:numId="2" w16cid:durableId="2040734387">
    <w:abstractNumId w:val="10"/>
  </w:num>
  <w:num w:numId="3" w16cid:durableId="811361043">
    <w:abstractNumId w:val="4"/>
  </w:num>
  <w:num w:numId="4" w16cid:durableId="2142923031">
    <w:abstractNumId w:val="1"/>
  </w:num>
  <w:num w:numId="5" w16cid:durableId="399327186">
    <w:abstractNumId w:val="9"/>
  </w:num>
  <w:num w:numId="6" w16cid:durableId="1809130601">
    <w:abstractNumId w:val="3"/>
  </w:num>
  <w:num w:numId="7" w16cid:durableId="900822894">
    <w:abstractNumId w:val="2"/>
  </w:num>
  <w:num w:numId="8" w16cid:durableId="223877068">
    <w:abstractNumId w:val="6"/>
  </w:num>
  <w:num w:numId="9" w16cid:durableId="759524754">
    <w:abstractNumId w:val="8"/>
  </w:num>
  <w:num w:numId="10" w16cid:durableId="1069571124">
    <w:abstractNumId w:val="7"/>
  </w:num>
  <w:num w:numId="11" w16cid:durableId="748498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11C"/>
    <w:rsid w:val="00003351"/>
    <w:rsid w:val="00003826"/>
    <w:rsid w:val="0000541B"/>
    <w:rsid w:val="00013F6E"/>
    <w:rsid w:val="00014547"/>
    <w:rsid w:val="00015C0D"/>
    <w:rsid w:val="0001780A"/>
    <w:rsid w:val="000221EA"/>
    <w:rsid w:val="00026BB6"/>
    <w:rsid w:val="000272B2"/>
    <w:rsid w:val="000279EA"/>
    <w:rsid w:val="00030DF6"/>
    <w:rsid w:val="0003368C"/>
    <w:rsid w:val="00036164"/>
    <w:rsid w:val="000361B1"/>
    <w:rsid w:val="00036BE1"/>
    <w:rsid w:val="000406B7"/>
    <w:rsid w:val="00043817"/>
    <w:rsid w:val="00047387"/>
    <w:rsid w:val="0005018D"/>
    <w:rsid w:val="00052A7B"/>
    <w:rsid w:val="00052FCB"/>
    <w:rsid w:val="00054031"/>
    <w:rsid w:val="0005477C"/>
    <w:rsid w:val="000556F7"/>
    <w:rsid w:val="00055CB3"/>
    <w:rsid w:val="000561D4"/>
    <w:rsid w:val="00056590"/>
    <w:rsid w:val="00057A90"/>
    <w:rsid w:val="00060EDE"/>
    <w:rsid w:val="00061654"/>
    <w:rsid w:val="000619CB"/>
    <w:rsid w:val="00063D10"/>
    <w:rsid w:val="00065DFE"/>
    <w:rsid w:val="000702BB"/>
    <w:rsid w:val="00071BAA"/>
    <w:rsid w:val="00072A93"/>
    <w:rsid w:val="00073876"/>
    <w:rsid w:val="000739D9"/>
    <w:rsid w:val="00074B80"/>
    <w:rsid w:val="00075A13"/>
    <w:rsid w:val="00077EF1"/>
    <w:rsid w:val="0008264D"/>
    <w:rsid w:val="00082DF6"/>
    <w:rsid w:val="0008366B"/>
    <w:rsid w:val="00084CA5"/>
    <w:rsid w:val="00084DE9"/>
    <w:rsid w:val="00085425"/>
    <w:rsid w:val="00086ACE"/>
    <w:rsid w:val="00090558"/>
    <w:rsid w:val="00090732"/>
    <w:rsid w:val="000908EF"/>
    <w:rsid w:val="000915F6"/>
    <w:rsid w:val="00096034"/>
    <w:rsid w:val="00097E16"/>
    <w:rsid w:val="000A0205"/>
    <w:rsid w:val="000A2C62"/>
    <w:rsid w:val="000A603A"/>
    <w:rsid w:val="000B14CC"/>
    <w:rsid w:val="000B2890"/>
    <w:rsid w:val="000B3B17"/>
    <w:rsid w:val="000C1209"/>
    <w:rsid w:val="000C3FF1"/>
    <w:rsid w:val="000C4B7D"/>
    <w:rsid w:val="000C5E29"/>
    <w:rsid w:val="000D04A4"/>
    <w:rsid w:val="000D261F"/>
    <w:rsid w:val="000D3608"/>
    <w:rsid w:val="000D60B2"/>
    <w:rsid w:val="000E427E"/>
    <w:rsid w:val="000E54B3"/>
    <w:rsid w:val="000E7D57"/>
    <w:rsid w:val="000F056E"/>
    <w:rsid w:val="000F160D"/>
    <w:rsid w:val="000F4253"/>
    <w:rsid w:val="000F5B57"/>
    <w:rsid w:val="000F71D1"/>
    <w:rsid w:val="000F7904"/>
    <w:rsid w:val="000F7D5E"/>
    <w:rsid w:val="000F7E84"/>
    <w:rsid w:val="00107797"/>
    <w:rsid w:val="00112BCC"/>
    <w:rsid w:val="0011446F"/>
    <w:rsid w:val="00117016"/>
    <w:rsid w:val="00120373"/>
    <w:rsid w:val="00126EFB"/>
    <w:rsid w:val="00127037"/>
    <w:rsid w:val="00133C09"/>
    <w:rsid w:val="00134E57"/>
    <w:rsid w:val="00136206"/>
    <w:rsid w:val="0013691D"/>
    <w:rsid w:val="00140BA9"/>
    <w:rsid w:val="00140E09"/>
    <w:rsid w:val="00141879"/>
    <w:rsid w:val="00142839"/>
    <w:rsid w:val="00151202"/>
    <w:rsid w:val="00151B3B"/>
    <w:rsid w:val="00151B98"/>
    <w:rsid w:val="00153B36"/>
    <w:rsid w:val="00160B59"/>
    <w:rsid w:val="001611F5"/>
    <w:rsid w:val="001625DA"/>
    <w:rsid w:val="001639D5"/>
    <w:rsid w:val="00164666"/>
    <w:rsid w:val="00164B20"/>
    <w:rsid w:val="00166912"/>
    <w:rsid w:val="00166EFC"/>
    <w:rsid w:val="0016744E"/>
    <w:rsid w:val="0017221C"/>
    <w:rsid w:val="0017392F"/>
    <w:rsid w:val="001745BB"/>
    <w:rsid w:val="0017650C"/>
    <w:rsid w:val="00177771"/>
    <w:rsid w:val="00182CA2"/>
    <w:rsid w:val="00182E21"/>
    <w:rsid w:val="00183DA9"/>
    <w:rsid w:val="00185937"/>
    <w:rsid w:val="00186690"/>
    <w:rsid w:val="00187B03"/>
    <w:rsid w:val="001912B3"/>
    <w:rsid w:val="00191AC1"/>
    <w:rsid w:val="00191CB8"/>
    <w:rsid w:val="001941BD"/>
    <w:rsid w:val="00194513"/>
    <w:rsid w:val="00196C0C"/>
    <w:rsid w:val="001A1F7C"/>
    <w:rsid w:val="001A2476"/>
    <w:rsid w:val="001A452C"/>
    <w:rsid w:val="001A512C"/>
    <w:rsid w:val="001B1EA9"/>
    <w:rsid w:val="001B264F"/>
    <w:rsid w:val="001B6AD5"/>
    <w:rsid w:val="001C210E"/>
    <w:rsid w:val="001C2DF2"/>
    <w:rsid w:val="001C4530"/>
    <w:rsid w:val="001C460B"/>
    <w:rsid w:val="001D0BD0"/>
    <w:rsid w:val="001D0D4C"/>
    <w:rsid w:val="001D3869"/>
    <w:rsid w:val="001D58C1"/>
    <w:rsid w:val="001D58F9"/>
    <w:rsid w:val="001D5AA0"/>
    <w:rsid w:val="001D746F"/>
    <w:rsid w:val="001E0B0E"/>
    <w:rsid w:val="001E31B4"/>
    <w:rsid w:val="001E39F0"/>
    <w:rsid w:val="001E4D33"/>
    <w:rsid w:val="001F0ADC"/>
    <w:rsid w:val="001F1BB8"/>
    <w:rsid w:val="001F2475"/>
    <w:rsid w:val="001F3B66"/>
    <w:rsid w:val="001F5674"/>
    <w:rsid w:val="001F7CFD"/>
    <w:rsid w:val="00200F4A"/>
    <w:rsid w:val="002016CC"/>
    <w:rsid w:val="00202AEC"/>
    <w:rsid w:val="00213F88"/>
    <w:rsid w:val="00216E82"/>
    <w:rsid w:val="00217433"/>
    <w:rsid w:val="002174D8"/>
    <w:rsid w:val="00220C90"/>
    <w:rsid w:val="00224A12"/>
    <w:rsid w:val="0022588D"/>
    <w:rsid w:val="00225935"/>
    <w:rsid w:val="00230D90"/>
    <w:rsid w:val="00231A3D"/>
    <w:rsid w:val="0023275D"/>
    <w:rsid w:val="00234D84"/>
    <w:rsid w:val="00235720"/>
    <w:rsid w:val="002369B5"/>
    <w:rsid w:val="00240221"/>
    <w:rsid w:val="00240EDD"/>
    <w:rsid w:val="00241110"/>
    <w:rsid w:val="0024315C"/>
    <w:rsid w:val="002432B7"/>
    <w:rsid w:val="002434F3"/>
    <w:rsid w:val="0024526A"/>
    <w:rsid w:val="00251369"/>
    <w:rsid w:val="00251C74"/>
    <w:rsid w:val="00252BC5"/>
    <w:rsid w:val="0025368E"/>
    <w:rsid w:val="00256CF4"/>
    <w:rsid w:val="00256EF6"/>
    <w:rsid w:val="00257DA9"/>
    <w:rsid w:val="00261D3C"/>
    <w:rsid w:val="002655FD"/>
    <w:rsid w:val="0027166A"/>
    <w:rsid w:val="00271B99"/>
    <w:rsid w:val="00274AF8"/>
    <w:rsid w:val="0027576C"/>
    <w:rsid w:val="002766AD"/>
    <w:rsid w:val="00276D3C"/>
    <w:rsid w:val="002772E8"/>
    <w:rsid w:val="002809FF"/>
    <w:rsid w:val="00281C5F"/>
    <w:rsid w:val="00281CF0"/>
    <w:rsid w:val="00281FD2"/>
    <w:rsid w:val="00282DAB"/>
    <w:rsid w:val="00282FF3"/>
    <w:rsid w:val="00286425"/>
    <w:rsid w:val="002905C2"/>
    <w:rsid w:val="00291C73"/>
    <w:rsid w:val="00293233"/>
    <w:rsid w:val="00293948"/>
    <w:rsid w:val="00293D82"/>
    <w:rsid w:val="00297830"/>
    <w:rsid w:val="002A10C8"/>
    <w:rsid w:val="002A5CD4"/>
    <w:rsid w:val="002A5F0A"/>
    <w:rsid w:val="002B03E5"/>
    <w:rsid w:val="002B1F29"/>
    <w:rsid w:val="002B2C3C"/>
    <w:rsid w:val="002B3D1F"/>
    <w:rsid w:val="002B4BBB"/>
    <w:rsid w:val="002B5942"/>
    <w:rsid w:val="002B63EB"/>
    <w:rsid w:val="002C0CE7"/>
    <w:rsid w:val="002C2283"/>
    <w:rsid w:val="002C23E8"/>
    <w:rsid w:val="002C273A"/>
    <w:rsid w:val="002C30BD"/>
    <w:rsid w:val="002C3C3D"/>
    <w:rsid w:val="002C7F3D"/>
    <w:rsid w:val="002D2593"/>
    <w:rsid w:val="002D4576"/>
    <w:rsid w:val="002D5A98"/>
    <w:rsid w:val="002D7C72"/>
    <w:rsid w:val="002E3494"/>
    <w:rsid w:val="002E4AD9"/>
    <w:rsid w:val="002E70EE"/>
    <w:rsid w:val="002F3489"/>
    <w:rsid w:val="002F42AB"/>
    <w:rsid w:val="002F562A"/>
    <w:rsid w:val="002F6352"/>
    <w:rsid w:val="002F69A7"/>
    <w:rsid w:val="00300171"/>
    <w:rsid w:val="00301A4E"/>
    <w:rsid w:val="00302870"/>
    <w:rsid w:val="00303549"/>
    <w:rsid w:val="00303698"/>
    <w:rsid w:val="00305B36"/>
    <w:rsid w:val="0030652F"/>
    <w:rsid w:val="0030708E"/>
    <w:rsid w:val="003072ED"/>
    <w:rsid w:val="00310516"/>
    <w:rsid w:val="003106A6"/>
    <w:rsid w:val="00311A1D"/>
    <w:rsid w:val="00312B59"/>
    <w:rsid w:val="0031786F"/>
    <w:rsid w:val="00321D31"/>
    <w:rsid w:val="003261D5"/>
    <w:rsid w:val="003263B6"/>
    <w:rsid w:val="00327DE7"/>
    <w:rsid w:val="00330DD6"/>
    <w:rsid w:val="00331ADE"/>
    <w:rsid w:val="00332BBA"/>
    <w:rsid w:val="003333B5"/>
    <w:rsid w:val="00333B3C"/>
    <w:rsid w:val="00333D6F"/>
    <w:rsid w:val="00337546"/>
    <w:rsid w:val="00337FF4"/>
    <w:rsid w:val="00341EDF"/>
    <w:rsid w:val="00342034"/>
    <w:rsid w:val="003441A6"/>
    <w:rsid w:val="00344D00"/>
    <w:rsid w:val="0034576A"/>
    <w:rsid w:val="00345EB4"/>
    <w:rsid w:val="00350BD5"/>
    <w:rsid w:val="00354549"/>
    <w:rsid w:val="00355257"/>
    <w:rsid w:val="003561D1"/>
    <w:rsid w:val="00357610"/>
    <w:rsid w:val="0035777F"/>
    <w:rsid w:val="00357870"/>
    <w:rsid w:val="00360986"/>
    <w:rsid w:val="003626E6"/>
    <w:rsid w:val="00362E70"/>
    <w:rsid w:val="00364E7F"/>
    <w:rsid w:val="00365E90"/>
    <w:rsid w:val="00370A4B"/>
    <w:rsid w:val="00374FEA"/>
    <w:rsid w:val="00375AF6"/>
    <w:rsid w:val="003778E2"/>
    <w:rsid w:val="00380E3A"/>
    <w:rsid w:val="00381BC2"/>
    <w:rsid w:val="003832F4"/>
    <w:rsid w:val="00384487"/>
    <w:rsid w:val="0038456E"/>
    <w:rsid w:val="003848F7"/>
    <w:rsid w:val="00385539"/>
    <w:rsid w:val="00386476"/>
    <w:rsid w:val="00386F9E"/>
    <w:rsid w:val="00397300"/>
    <w:rsid w:val="00397BF7"/>
    <w:rsid w:val="00397D29"/>
    <w:rsid w:val="003A00B8"/>
    <w:rsid w:val="003A1923"/>
    <w:rsid w:val="003A1E8B"/>
    <w:rsid w:val="003A44D4"/>
    <w:rsid w:val="003A453A"/>
    <w:rsid w:val="003A6506"/>
    <w:rsid w:val="003A74B4"/>
    <w:rsid w:val="003A7EA8"/>
    <w:rsid w:val="003B14EB"/>
    <w:rsid w:val="003B27CF"/>
    <w:rsid w:val="003B495D"/>
    <w:rsid w:val="003B4973"/>
    <w:rsid w:val="003B69A5"/>
    <w:rsid w:val="003B6CE0"/>
    <w:rsid w:val="003C27BF"/>
    <w:rsid w:val="003C421E"/>
    <w:rsid w:val="003C4667"/>
    <w:rsid w:val="003C6BB1"/>
    <w:rsid w:val="003C792E"/>
    <w:rsid w:val="003C7B65"/>
    <w:rsid w:val="003D14FB"/>
    <w:rsid w:val="003E0677"/>
    <w:rsid w:val="003E0F50"/>
    <w:rsid w:val="003E188A"/>
    <w:rsid w:val="003E19C9"/>
    <w:rsid w:val="003E4DB8"/>
    <w:rsid w:val="003E54D0"/>
    <w:rsid w:val="003E6204"/>
    <w:rsid w:val="003E6B64"/>
    <w:rsid w:val="003F0B06"/>
    <w:rsid w:val="003F1295"/>
    <w:rsid w:val="003F279C"/>
    <w:rsid w:val="003F3D32"/>
    <w:rsid w:val="003F4895"/>
    <w:rsid w:val="003F59AB"/>
    <w:rsid w:val="003F5F1A"/>
    <w:rsid w:val="003F60FE"/>
    <w:rsid w:val="003F68FB"/>
    <w:rsid w:val="0040342A"/>
    <w:rsid w:val="00404DF7"/>
    <w:rsid w:val="00405AC8"/>
    <w:rsid w:val="004064DC"/>
    <w:rsid w:val="00407E61"/>
    <w:rsid w:val="00410536"/>
    <w:rsid w:val="0041159B"/>
    <w:rsid w:val="00412739"/>
    <w:rsid w:val="00414428"/>
    <w:rsid w:val="004144D1"/>
    <w:rsid w:val="00414AD9"/>
    <w:rsid w:val="004153FF"/>
    <w:rsid w:val="0041675D"/>
    <w:rsid w:val="004212F7"/>
    <w:rsid w:val="004226F9"/>
    <w:rsid w:val="00424621"/>
    <w:rsid w:val="00426FD8"/>
    <w:rsid w:val="004273E7"/>
    <w:rsid w:val="00427876"/>
    <w:rsid w:val="00427954"/>
    <w:rsid w:val="00430309"/>
    <w:rsid w:val="004308BB"/>
    <w:rsid w:val="0043757E"/>
    <w:rsid w:val="00440AA0"/>
    <w:rsid w:val="00442FD9"/>
    <w:rsid w:val="00443C5B"/>
    <w:rsid w:val="00443D9E"/>
    <w:rsid w:val="00446BA8"/>
    <w:rsid w:val="00451674"/>
    <w:rsid w:val="0045239F"/>
    <w:rsid w:val="00453D89"/>
    <w:rsid w:val="004545D7"/>
    <w:rsid w:val="00455E77"/>
    <w:rsid w:val="00460F3E"/>
    <w:rsid w:val="0046270C"/>
    <w:rsid w:val="00466628"/>
    <w:rsid w:val="0047020A"/>
    <w:rsid w:val="00472C3A"/>
    <w:rsid w:val="00473788"/>
    <w:rsid w:val="004745E8"/>
    <w:rsid w:val="0047597E"/>
    <w:rsid w:val="004765A3"/>
    <w:rsid w:val="0047739A"/>
    <w:rsid w:val="00485D86"/>
    <w:rsid w:val="0048624A"/>
    <w:rsid w:val="00486BCB"/>
    <w:rsid w:val="00490875"/>
    <w:rsid w:val="0049454C"/>
    <w:rsid w:val="00494D2C"/>
    <w:rsid w:val="004950AB"/>
    <w:rsid w:val="00496986"/>
    <w:rsid w:val="00497874"/>
    <w:rsid w:val="004A0684"/>
    <w:rsid w:val="004A0FDA"/>
    <w:rsid w:val="004A2FF8"/>
    <w:rsid w:val="004A3F17"/>
    <w:rsid w:val="004A4CEC"/>
    <w:rsid w:val="004A561D"/>
    <w:rsid w:val="004B06D2"/>
    <w:rsid w:val="004B1442"/>
    <w:rsid w:val="004B454D"/>
    <w:rsid w:val="004B5698"/>
    <w:rsid w:val="004B5A89"/>
    <w:rsid w:val="004B5AFC"/>
    <w:rsid w:val="004B6495"/>
    <w:rsid w:val="004B65CF"/>
    <w:rsid w:val="004B683D"/>
    <w:rsid w:val="004B6C6D"/>
    <w:rsid w:val="004C07FF"/>
    <w:rsid w:val="004C19BC"/>
    <w:rsid w:val="004C20A3"/>
    <w:rsid w:val="004C2E9C"/>
    <w:rsid w:val="004C4C3C"/>
    <w:rsid w:val="004C5B02"/>
    <w:rsid w:val="004C5D39"/>
    <w:rsid w:val="004C7775"/>
    <w:rsid w:val="004D0A90"/>
    <w:rsid w:val="004D1B01"/>
    <w:rsid w:val="004D306B"/>
    <w:rsid w:val="004D707A"/>
    <w:rsid w:val="004E0639"/>
    <w:rsid w:val="004E1799"/>
    <w:rsid w:val="004E4A63"/>
    <w:rsid w:val="004E67AB"/>
    <w:rsid w:val="004E7376"/>
    <w:rsid w:val="004F2510"/>
    <w:rsid w:val="004F372D"/>
    <w:rsid w:val="004F49E7"/>
    <w:rsid w:val="004F5111"/>
    <w:rsid w:val="00501ABA"/>
    <w:rsid w:val="0050351B"/>
    <w:rsid w:val="00504D3D"/>
    <w:rsid w:val="005067E5"/>
    <w:rsid w:val="00507960"/>
    <w:rsid w:val="00510135"/>
    <w:rsid w:val="005128EB"/>
    <w:rsid w:val="00513A16"/>
    <w:rsid w:val="00521EC1"/>
    <w:rsid w:val="0052249A"/>
    <w:rsid w:val="00522B24"/>
    <w:rsid w:val="00523012"/>
    <w:rsid w:val="0052715E"/>
    <w:rsid w:val="00540A7D"/>
    <w:rsid w:val="00541AC4"/>
    <w:rsid w:val="00542994"/>
    <w:rsid w:val="005462D3"/>
    <w:rsid w:val="00546C9D"/>
    <w:rsid w:val="00547BBB"/>
    <w:rsid w:val="005522CE"/>
    <w:rsid w:val="00553297"/>
    <w:rsid w:val="0055454D"/>
    <w:rsid w:val="00555848"/>
    <w:rsid w:val="00556347"/>
    <w:rsid w:val="00556929"/>
    <w:rsid w:val="005612D5"/>
    <w:rsid w:val="005631EB"/>
    <w:rsid w:val="005635DC"/>
    <w:rsid w:val="00563A2D"/>
    <w:rsid w:val="0056443B"/>
    <w:rsid w:val="00564882"/>
    <w:rsid w:val="00564BB9"/>
    <w:rsid w:val="0057008D"/>
    <w:rsid w:val="005752B0"/>
    <w:rsid w:val="00577593"/>
    <w:rsid w:val="00577B2D"/>
    <w:rsid w:val="00582721"/>
    <w:rsid w:val="00584318"/>
    <w:rsid w:val="00586F1B"/>
    <w:rsid w:val="00590110"/>
    <w:rsid w:val="00590433"/>
    <w:rsid w:val="0059123E"/>
    <w:rsid w:val="00591AF9"/>
    <w:rsid w:val="00593C12"/>
    <w:rsid w:val="005941CA"/>
    <w:rsid w:val="00595DA2"/>
    <w:rsid w:val="0059622F"/>
    <w:rsid w:val="00596C18"/>
    <w:rsid w:val="005A1433"/>
    <w:rsid w:val="005A402C"/>
    <w:rsid w:val="005A439E"/>
    <w:rsid w:val="005A4885"/>
    <w:rsid w:val="005A4D92"/>
    <w:rsid w:val="005A5538"/>
    <w:rsid w:val="005A67C7"/>
    <w:rsid w:val="005B088D"/>
    <w:rsid w:val="005B1C9B"/>
    <w:rsid w:val="005B4B74"/>
    <w:rsid w:val="005B6C59"/>
    <w:rsid w:val="005C0D85"/>
    <w:rsid w:val="005C4ADE"/>
    <w:rsid w:val="005C5ED6"/>
    <w:rsid w:val="005C6631"/>
    <w:rsid w:val="005C66E2"/>
    <w:rsid w:val="005D25DE"/>
    <w:rsid w:val="005D38E2"/>
    <w:rsid w:val="005D3FDB"/>
    <w:rsid w:val="005D417F"/>
    <w:rsid w:val="005D5FEF"/>
    <w:rsid w:val="005D6A32"/>
    <w:rsid w:val="005E054C"/>
    <w:rsid w:val="005E0B5E"/>
    <w:rsid w:val="005E2EE8"/>
    <w:rsid w:val="005E742F"/>
    <w:rsid w:val="005E75EA"/>
    <w:rsid w:val="005E7609"/>
    <w:rsid w:val="005F1F19"/>
    <w:rsid w:val="005F3B38"/>
    <w:rsid w:val="005F4A38"/>
    <w:rsid w:val="005F5735"/>
    <w:rsid w:val="005F72F5"/>
    <w:rsid w:val="005F7F8D"/>
    <w:rsid w:val="00600206"/>
    <w:rsid w:val="00600554"/>
    <w:rsid w:val="006013A2"/>
    <w:rsid w:val="0060470A"/>
    <w:rsid w:val="0060682A"/>
    <w:rsid w:val="0061297B"/>
    <w:rsid w:val="006135E6"/>
    <w:rsid w:val="00615342"/>
    <w:rsid w:val="00616544"/>
    <w:rsid w:val="00617493"/>
    <w:rsid w:val="0062414A"/>
    <w:rsid w:val="006254B4"/>
    <w:rsid w:val="00631558"/>
    <w:rsid w:val="00631CD9"/>
    <w:rsid w:val="006353AF"/>
    <w:rsid w:val="00635DDF"/>
    <w:rsid w:val="00636745"/>
    <w:rsid w:val="00636817"/>
    <w:rsid w:val="00637F68"/>
    <w:rsid w:val="0064017D"/>
    <w:rsid w:val="006403F5"/>
    <w:rsid w:val="00643FC4"/>
    <w:rsid w:val="00645D82"/>
    <w:rsid w:val="00646DAD"/>
    <w:rsid w:val="0065520E"/>
    <w:rsid w:val="00655A8D"/>
    <w:rsid w:val="00655B5F"/>
    <w:rsid w:val="006578A1"/>
    <w:rsid w:val="00662B6B"/>
    <w:rsid w:val="00662C01"/>
    <w:rsid w:val="00665667"/>
    <w:rsid w:val="00674CBF"/>
    <w:rsid w:val="00676DD2"/>
    <w:rsid w:val="006828A7"/>
    <w:rsid w:val="00682EBA"/>
    <w:rsid w:val="006848D5"/>
    <w:rsid w:val="006848F8"/>
    <w:rsid w:val="00687335"/>
    <w:rsid w:val="006902CB"/>
    <w:rsid w:val="00690B02"/>
    <w:rsid w:val="00694158"/>
    <w:rsid w:val="00695372"/>
    <w:rsid w:val="00697051"/>
    <w:rsid w:val="006B6D2C"/>
    <w:rsid w:val="006C0AC9"/>
    <w:rsid w:val="006C2B15"/>
    <w:rsid w:val="006C2C51"/>
    <w:rsid w:val="006C6BAB"/>
    <w:rsid w:val="006D4A76"/>
    <w:rsid w:val="006D6104"/>
    <w:rsid w:val="006D7706"/>
    <w:rsid w:val="006E0163"/>
    <w:rsid w:val="006E2E9C"/>
    <w:rsid w:val="006E4FF5"/>
    <w:rsid w:val="006F0281"/>
    <w:rsid w:val="006F5111"/>
    <w:rsid w:val="006F594E"/>
    <w:rsid w:val="00701F94"/>
    <w:rsid w:val="00707A90"/>
    <w:rsid w:val="0071095E"/>
    <w:rsid w:val="00713764"/>
    <w:rsid w:val="00721DF3"/>
    <w:rsid w:val="007231B4"/>
    <w:rsid w:val="00725AA3"/>
    <w:rsid w:val="00731284"/>
    <w:rsid w:val="00734506"/>
    <w:rsid w:val="00736AED"/>
    <w:rsid w:val="00737694"/>
    <w:rsid w:val="00740238"/>
    <w:rsid w:val="00741793"/>
    <w:rsid w:val="00741DFB"/>
    <w:rsid w:val="00742043"/>
    <w:rsid w:val="0074589F"/>
    <w:rsid w:val="00745F7A"/>
    <w:rsid w:val="00746849"/>
    <w:rsid w:val="0075175D"/>
    <w:rsid w:val="00752CF5"/>
    <w:rsid w:val="00754043"/>
    <w:rsid w:val="00757655"/>
    <w:rsid w:val="00760BC5"/>
    <w:rsid w:val="00761F01"/>
    <w:rsid w:val="0076634E"/>
    <w:rsid w:val="00770ED9"/>
    <w:rsid w:val="00775F64"/>
    <w:rsid w:val="007770B0"/>
    <w:rsid w:val="00780035"/>
    <w:rsid w:val="00780604"/>
    <w:rsid w:val="0078437F"/>
    <w:rsid w:val="00786BBC"/>
    <w:rsid w:val="007871E4"/>
    <w:rsid w:val="007907A0"/>
    <w:rsid w:val="007A0449"/>
    <w:rsid w:val="007A04EF"/>
    <w:rsid w:val="007A060E"/>
    <w:rsid w:val="007A16ED"/>
    <w:rsid w:val="007A6388"/>
    <w:rsid w:val="007A6394"/>
    <w:rsid w:val="007A6B88"/>
    <w:rsid w:val="007B19A5"/>
    <w:rsid w:val="007B3C5A"/>
    <w:rsid w:val="007B3E02"/>
    <w:rsid w:val="007B4626"/>
    <w:rsid w:val="007B55DD"/>
    <w:rsid w:val="007B61EB"/>
    <w:rsid w:val="007B6BB6"/>
    <w:rsid w:val="007B6E87"/>
    <w:rsid w:val="007C0175"/>
    <w:rsid w:val="007C4BFA"/>
    <w:rsid w:val="007D13E1"/>
    <w:rsid w:val="007D1C01"/>
    <w:rsid w:val="007D36F8"/>
    <w:rsid w:val="007D5E44"/>
    <w:rsid w:val="007D713E"/>
    <w:rsid w:val="007E3D9A"/>
    <w:rsid w:val="007E411C"/>
    <w:rsid w:val="007E4933"/>
    <w:rsid w:val="007E5CEC"/>
    <w:rsid w:val="007E6C95"/>
    <w:rsid w:val="007E700F"/>
    <w:rsid w:val="007E70A4"/>
    <w:rsid w:val="007F1375"/>
    <w:rsid w:val="007F20E5"/>
    <w:rsid w:val="007F7106"/>
    <w:rsid w:val="007F77F7"/>
    <w:rsid w:val="007F78B0"/>
    <w:rsid w:val="007F7A6C"/>
    <w:rsid w:val="008017FC"/>
    <w:rsid w:val="00802300"/>
    <w:rsid w:val="008024A6"/>
    <w:rsid w:val="00802E99"/>
    <w:rsid w:val="0080448E"/>
    <w:rsid w:val="0080471C"/>
    <w:rsid w:val="00812D7E"/>
    <w:rsid w:val="0081320E"/>
    <w:rsid w:val="0081737B"/>
    <w:rsid w:val="0081791A"/>
    <w:rsid w:val="00820683"/>
    <w:rsid w:val="00820CDB"/>
    <w:rsid w:val="008237AC"/>
    <w:rsid w:val="008262E8"/>
    <w:rsid w:val="008270DF"/>
    <w:rsid w:val="00827879"/>
    <w:rsid w:val="00834660"/>
    <w:rsid w:val="00835306"/>
    <w:rsid w:val="008410DB"/>
    <w:rsid w:val="008440DD"/>
    <w:rsid w:val="00847120"/>
    <w:rsid w:val="0085016C"/>
    <w:rsid w:val="008515EF"/>
    <w:rsid w:val="00852122"/>
    <w:rsid w:val="008526E6"/>
    <w:rsid w:val="00855124"/>
    <w:rsid w:val="00856EAD"/>
    <w:rsid w:val="00857085"/>
    <w:rsid w:val="008639F9"/>
    <w:rsid w:val="0086626F"/>
    <w:rsid w:val="00867FAE"/>
    <w:rsid w:val="00870C7A"/>
    <w:rsid w:val="00876E34"/>
    <w:rsid w:val="008848FF"/>
    <w:rsid w:val="00890738"/>
    <w:rsid w:val="00894968"/>
    <w:rsid w:val="00894C44"/>
    <w:rsid w:val="0089514A"/>
    <w:rsid w:val="00895321"/>
    <w:rsid w:val="00896244"/>
    <w:rsid w:val="00896C2F"/>
    <w:rsid w:val="008A33A2"/>
    <w:rsid w:val="008A3518"/>
    <w:rsid w:val="008A4C8F"/>
    <w:rsid w:val="008A596B"/>
    <w:rsid w:val="008B0D4B"/>
    <w:rsid w:val="008B1123"/>
    <w:rsid w:val="008B1B86"/>
    <w:rsid w:val="008B2C72"/>
    <w:rsid w:val="008B39EC"/>
    <w:rsid w:val="008B3D5F"/>
    <w:rsid w:val="008B4CD7"/>
    <w:rsid w:val="008B4E5C"/>
    <w:rsid w:val="008B5A08"/>
    <w:rsid w:val="008C15CC"/>
    <w:rsid w:val="008C3D3E"/>
    <w:rsid w:val="008C6795"/>
    <w:rsid w:val="008C7F4C"/>
    <w:rsid w:val="008D71DD"/>
    <w:rsid w:val="008E72D5"/>
    <w:rsid w:val="008F522F"/>
    <w:rsid w:val="008F6CBE"/>
    <w:rsid w:val="008F76E5"/>
    <w:rsid w:val="00900804"/>
    <w:rsid w:val="00904989"/>
    <w:rsid w:val="00906815"/>
    <w:rsid w:val="0090685D"/>
    <w:rsid w:val="009105AF"/>
    <w:rsid w:val="00910C06"/>
    <w:rsid w:val="00911196"/>
    <w:rsid w:val="0091259C"/>
    <w:rsid w:val="00924CAE"/>
    <w:rsid w:val="00931113"/>
    <w:rsid w:val="00931148"/>
    <w:rsid w:val="00936882"/>
    <w:rsid w:val="00941EF8"/>
    <w:rsid w:val="0094251D"/>
    <w:rsid w:val="00942961"/>
    <w:rsid w:val="00942C07"/>
    <w:rsid w:val="00943BFE"/>
    <w:rsid w:val="00944AEB"/>
    <w:rsid w:val="0094553A"/>
    <w:rsid w:val="0094605F"/>
    <w:rsid w:val="00946D7B"/>
    <w:rsid w:val="00947953"/>
    <w:rsid w:val="00950AEA"/>
    <w:rsid w:val="00950E96"/>
    <w:rsid w:val="009521A6"/>
    <w:rsid w:val="00953D8F"/>
    <w:rsid w:val="00955BC5"/>
    <w:rsid w:val="00956F7C"/>
    <w:rsid w:val="009607C3"/>
    <w:rsid w:val="00965DE5"/>
    <w:rsid w:val="0096760E"/>
    <w:rsid w:val="00970954"/>
    <w:rsid w:val="0097468E"/>
    <w:rsid w:val="00976826"/>
    <w:rsid w:val="009769EB"/>
    <w:rsid w:val="0098242A"/>
    <w:rsid w:val="00983884"/>
    <w:rsid w:val="00985306"/>
    <w:rsid w:val="00987DB1"/>
    <w:rsid w:val="00992831"/>
    <w:rsid w:val="009A0955"/>
    <w:rsid w:val="009A0ED3"/>
    <w:rsid w:val="009A2BBD"/>
    <w:rsid w:val="009A37B7"/>
    <w:rsid w:val="009A4243"/>
    <w:rsid w:val="009A7283"/>
    <w:rsid w:val="009A7528"/>
    <w:rsid w:val="009A76C6"/>
    <w:rsid w:val="009A7CD7"/>
    <w:rsid w:val="009B1CE8"/>
    <w:rsid w:val="009B3179"/>
    <w:rsid w:val="009B31C3"/>
    <w:rsid w:val="009B3378"/>
    <w:rsid w:val="009B36FF"/>
    <w:rsid w:val="009B53D7"/>
    <w:rsid w:val="009C0BE5"/>
    <w:rsid w:val="009C103B"/>
    <w:rsid w:val="009C1F9C"/>
    <w:rsid w:val="009C211D"/>
    <w:rsid w:val="009C21E7"/>
    <w:rsid w:val="009C371A"/>
    <w:rsid w:val="009C3FC7"/>
    <w:rsid w:val="009C57B2"/>
    <w:rsid w:val="009C599F"/>
    <w:rsid w:val="009C65E4"/>
    <w:rsid w:val="009D0374"/>
    <w:rsid w:val="009D290B"/>
    <w:rsid w:val="009D4F42"/>
    <w:rsid w:val="009E0380"/>
    <w:rsid w:val="009E0F83"/>
    <w:rsid w:val="009E448F"/>
    <w:rsid w:val="009E4C0B"/>
    <w:rsid w:val="009E73C4"/>
    <w:rsid w:val="009F0B7E"/>
    <w:rsid w:val="009F0FB0"/>
    <w:rsid w:val="009F30AE"/>
    <w:rsid w:val="009F4B2B"/>
    <w:rsid w:val="009F4EBF"/>
    <w:rsid w:val="009F5FEE"/>
    <w:rsid w:val="00A02A16"/>
    <w:rsid w:val="00A03F23"/>
    <w:rsid w:val="00A04851"/>
    <w:rsid w:val="00A05372"/>
    <w:rsid w:val="00A06655"/>
    <w:rsid w:val="00A103A0"/>
    <w:rsid w:val="00A15326"/>
    <w:rsid w:val="00A15EE1"/>
    <w:rsid w:val="00A160B5"/>
    <w:rsid w:val="00A17C38"/>
    <w:rsid w:val="00A23003"/>
    <w:rsid w:val="00A239EB"/>
    <w:rsid w:val="00A26AC0"/>
    <w:rsid w:val="00A309A3"/>
    <w:rsid w:val="00A364B3"/>
    <w:rsid w:val="00A450E6"/>
    <w:rsid w:val="00A46F34"/>
    <w:rsid w:val="00A5092E"/>
    <w:rsid w:val="00A50C1E"/>
    <w:rsid w:val="00A51245"/>
    <w:rsid w:val="00A51360"/>
    <w:rsid w:val="00A526E2"/>
    <w:rsid w:val="00A5408A"/>
    <w:rsid w:val="00A54831"/>
    <w:rsid w:val="00A55A60"/>
    <w:rsid w:val="00A626E6"/>
    <w:rsid w:val="00A62F26"/>
    <w:rsid w:val="00A63B24"/>
    <w:rsid w:val="00A67D45"/>
    <w:rsid w:val="00A7160A"/>
    <w:rsid w:val="00A7271A"/>
    <w:rsid w:val="00A7307C"/>
    <w:rsid w:val="00A76709"/>
    <w:rsid w:val="00A7753B"/>
    <w:rsid w:val="00A824BF"/>
    <w:rsid w:val="00A824DD"/>
    <w:rsid w:val="00A8700C"/>
    <w:rsid w:val="00A87067"/>
    <w:rsid w:val="00A928F7"/>
    <w:rsid w:val="00A96FF0"/>
    <w:rsid w:val="00A97923"/>
    <w:rsid w:val="00AA07A2"/>
    <w:rsid w:val="00AA07F2"/>
    <w:rsid w:val="00AA1A04"/>
    <w:rsid w:val="00AA2120"/>
    <w:rsid w:val="00AA4716"/>
    <w:rsid w:val="00AA538B"/>
    <w:rsid w:val="00AA5F4A"/>
    <w:rsid w:val="00AA7AB4"/>
    <w:rsid w:val="00AB0CE7"/>
    <w:rsid w:val="00AB1CC7"/>
    <w:rsid w:val="00AB34D7"/>
    <w:rsid w:val="00AB49A5"/>
    <w:rsid w:val="00AB68D9"/>
    <w:rsid w:val="00AB691F"/>
    <w:rsid w:val="00AC1D3B"/>
    <w:rsid w:val="00AC1FC0"/>
    <w:rsid w:val="00AC49AD"/>
    <w:rsid w:val="00AC57E4"/>
    <w:rsid w:val="00AC5919"/>
    <w:rsid w:val="00AC5B15"/>
    <w:rsid w:val="00AD21E5"/>
    <w:rsid w:val="00AD3BA8"/>
    <w:rsid w:val="00AE21AF"/>
    <w:rsid w:val="00AE4381"/>
    <w:rsid w:val="00AE54A6"/>
    <w:rsid w:val="00AE6F50"/>
    <w:rsid w:val="00AE7BB8"/>
    <w:rsid w:val="00AE7F03"/>
    <w:rsid w:val="00AF0438"/>
    <w:rsid w:val="00AF1714"/>
    <w:rsid w:val="00AF28CA"/>
    <w:rsid w:val="00AF3229"/>
    <w:rsid w:val="00AF3D47"/>
    <w:rsid w:val="00AF484E"/>
    <w:rsid w:val="00AF69E4"/>
    <w:rsid w:val="00B00546"/>
    <w:rsid w:val="00B00F48"/>
    <w:rsid w:val="00B024EC"/>
    <w:rsid w:val="00B02A1D"/>
    <w:rsid w:val="00B02E25"/>
    <w:rsid w:val="00B07508"/>
    <w:rsid w:val="00B07882"/>
    <w:rsid w:val="00B118E0"/>
    <w:rsid w:val="00B11DF7"/>
    <w:rsid w:val="00B14103"/>
    <w:rsid w:val="00B20144"/>
    <w:rsid w:val="00B2068F"/>
    <w:rsid w:val="00B23C8F"/>
    <w:rsid w:val="00B300E5"/>
    <w:rsid w:val="00B34E12"/>
    <w:rsid w:val="00B4092E"/>
    <w:rsid w:val="00B420EF"/>
    <w:rsid w:val="00B423A1"/>
    <w:rsid w:val="00B44988"/>
    <w:rsid w:val="00B4560B"/>
    <w:rsid w:val="00B47213"/>
    <w:rsid w:val="00B514F7"/>
    <w:rsid w:val="00B51CA7"/>
    <w:rsid w:val="00B52BD4"/>
    <w:rsid w:val="00B530DE"/>
    <w:rsid w:val="00B54B83"/>
    <w:rsid w:val="00B552B2"/>
    <w:rsid w:val="00B570F7"/>
    <w:rsid w:val="00B61484"/>
    <w:rsid w:val="00B61A3C"/>
    <w:rsid w:val="00B64828"/>
    <w:rsid w:val="00B655E9"/>
    <w:rsid w:val="00B70EBA"/>
    <w:rsid w:val="00B732A9"/>
    <w:rsid w:val="00B81737"/>
    <w:rsid w:val="00B81B2E"/>
    <w:rsid w:val="00B81FF2"/>
    <w:rsid w:val="00B848DA"/>
    <w:rsid w:val="00B85BDE"/>
    <w:rsid w:val="00B922CD"/>
    <w:rsid w:val="00B94BF7"/>
    <w:rsid w:val="00B95F02"/>
    <w:rsid w:val="00BA107B"/>
    <w:rsid w:val="00BA22CD"/>
    <w:rsid w:val="00BB222C"/>
    <w:rsid w:val="00BB2342"/>
    <w:rsid w:val="00BB4ED9"/>
    <w:rsid w:val="00BB6F87"/>
    <w:rsid w:val="00BB740F"/>
    <w:rsid w:val="00BC1C3D"/>
    <w:rsid w:val="00BC42A0"/>
    <w:rsid w:val="00BC5813"/>
    <w:rsid w:val="00BC5DE7"/>
    <w:rsid w:val="00BC6FB2"/>
    <w:rsid w:val="00BD0E9B"/>
    <w:rsid w:val="00BD333D"/>
    <w:rsid w:val="00BD4CB4"/>
    <w:rsid w:val="00BD55C5"/>
    <w:rsid w:val="00BD5915"/>
    <w:rsid w:val="00BD616E"/>
    <w:rsid w:val="00BD6804"/>
    <w:rsid w:val="00BD6FE7"/>
    <w:rsid w:val="00BD731D"/>
    <w:rsid w:val="00BD757A"/>
    <w:rsid w:val="00BE1CD3"/>
    <w:rsid w:val="00BE2130"/>
    <w:rsid w:val="00BE3E79"/>
    <w:rsid w:val="00BE6124"/>
    <w:rsid w:val="00BE616C"/>
    <w:rsid w:val="00BF27C3"/>
    <w:rsid w:val="00BF3C48"/>
    <w:rsid w:val="00BF51ED"/>
    <w:rsid w:val="00BF5B5F"/>
    <w:rsid w:val="00BF6844"/>
    <w:rsid w:val="00C01358"/>
    <w:rsid w:val="00C01BAB"/>
    <w:rsid w:val="00C04F02"/>
    <w:rsid w:val="00C10B07"/>
    <w:rsid w:val="00C11A1F"/>
    <w:rsid w:val="00C132D5"/>
    <w:rsid w:val="00C17123"/>
    <w:rsid w:val="00C20E2D"/>
    <w:rsid w:val="00C234E0"/>
    <w:rsid w:val="00C23951"/>
    <w:rsid w:val="00C23E51"/>
    <w:rsid w:val="00C24472"/>
    <w:rsid w:val="00C2486C"/>
    <w:rsid w:val="00C24A0F"/>
    <w:rsid w:val="00C2557B"/>
    <w:rsid w:val="00C255BB"/>
    <w:rsid w:val="00C25983"/>
    <w:rsid w:val="00C26F61"/>
    <w:rsid w:val="00C309E3"/>
    <w:rsid w:val="00C368AA"/>
    <w:rsid w:val="00C36CEA"/>
    <w:rsid w:val="00C40DAB"/>
    <w:rsid w:val="00C444CA"/>
    <w:rsid w:val="00C46093"/>
    <w:rsid w:val="00C4670B"/>
    <w:rsid w:val="00C473D4"/>
    <w:rsid w:val="00C500A0"/>
    <w:rsid w:val="00C547FB"/>
    <w:rsid w:val="00C56FD1"/>
    <w:rsid w:val="00C57DC9"/>
    <w:rsid w:val="00C60303"/>
    <w:rsid w:val="00C632A4"/>
    <w:rsid w:val="00C63BF3"/>
    <w:rsid w:val="00C70363"/>
    <w:rsid w:val="00C7419C"/>
    <w:rsid w:val="00C7630E"/>
    <w:rsid w:val="00C8166A"/>
    <w:rsid w:val="00C82B6D"/>
    <w:rsid w:val="00C831E6"/>
    <w:rsid w:val="00C838E3"/>
    <w:rsid w:val="00C92A57"/>
    <w:rsid w:val="00C92B5F"/>
    <w:rsid w:val="00C94B7E"/>
    <w:rsid w:val="00CA1358"/>
    <w:rsid w:val="00CA1DF0"/>
    <w:rsid w:val="00CA33C5"/>
    <w:rsid w:val="00CA54E3"/>
    <w:rsid w:val="00CA5ADF"/>
    <w:rsid w:val="00CA7C1D"/>
    <w:rsid w:val="00CB00E3"/>
    <w:rsid w:val="00CB0DFF"/>
    <w:rsid w:val="00CB5EC9"/>
    <w:rsid w:val="00CC09E1"/>
    <w:rsid w:val="00CC0B8B"/>
    <w:rsid w:val="00CC1699"/>
    <w:rsid w:val="00CC2674"/>
    <w:rsid w:val="00CD1B85"/>
    <w:rsid w:val="00CD2E7C"/>
    <w:rsid w:val="00CE1D45"/>
    <w:rsid w:val="00CE33BA"/>
    <w:rsid w:val="00CE367C"/>
    <w:rsid w:val="00CE4B76"/>
    <w:rsid w:val="00CE5354"/>
    <w:rsid w:val="00CE5901"/>
    <w:rsid w:val="00CE6216"/>
    <w:rsid w:val="00CF422F"/>
    <w:rsid w:val="00CF463E"/>
    <w:rsid w:val="00CF4D0D"/>
    <w:rsid w:val="00CF691D"/>
    <w:rsid w:val="00CF74A2"/>
    <w:rsid w:val="00CF7B93"/>
    <w:rsid w:val="00D018B9"/>
    <w:rsid w:val="00D019D1"/>
    <w:rsid w:val="00D020A2"/>
    <w:rsid w:val="00D022AD"/>
    <w:rsid w:val="00D02EE5"/>
    <w:rsid w:val="00D03E82"/>
    <w:rsid w:val="00D04354"/>
    <w:rsid w:val="00D047B8"/>
    <w:rsid w:val="00D057BA"/>
    <w:rsid w:val="00D0607B"/>
    <w:rsid w:val="00D150E0"/>
    <w:rsid w:val="00D15E54"/>
    <w:rsid w:val="00D175C7"/>
    <w:rsid w:val="00D21057"/>
    <w:rsid w:val="00D238D7"/>
    <w:rsid w:val="00D241ED"/>
    <w:rsid w:val="00D256EB"/>
    <w:rsid w:val="00D25D49"/>
    <w:rsid w:val="00D26AE3"/>
    <w:rsid w:val="00D270F7"/>
    <w:rsid w:val="00D27A11"/>
    <w:rsid w:val="00D27F92"/>
    <w:rsid w:val="00D30FF3"/>
    <w:rsid w:val="00D34E02"/>
    <w:rsid w:val="00D36984"/>
    <w:rsid w:val="00D37686"/>
    <w:rsid w:val="00D37E15"/>
    <w:rsid w:val="00D451B3"/>
    <w:rsid w:val="00D45A14"/>
    <w:rsid w:val="00D463C5"/>
    <w:rsid w:val="00D50AA1"/>
    <w:rsid w:val="00D52FCB"/>
    <w:rsid w:val="00D570F0"/>
    <w:rsid w:val="00D63862"/>
    <w:rsid w:val="00D648BB"/>
    <w:rsid w:val="00D6545D"/>
    <w:rsid w:val="00D6639D"/>
    <w:rsid w:val="00D67A7F"/>
    <w:rsid w:val="00D71186"/>
    <w:rsid w:val="00D716C8"/>
    <w:rsid w:val="00D740D2"/>
    <w:rsid w:val="00D81E96"/>
    <w:rsid w:val="00D82084"/>
    <w:rsid w:val="00D82864"/>
    <w:rsid w:val="00D849A8"/>
    <w:rsid w:val="00D86B7F"/>
    <w:rsid w:val="00D86DB9"/>
    <w:rsid w:val="00D87248"/>
    <w:rsid w:val="00D87F7D"/>
    <w:rsid w:val="00D916D6"/>
    <w:rsid w:val="00D96B29"/>
    <w:rsid w:val="00D97D17"/>
    <w:rsid w:val="00DA022D"/>
    <w:rsid w:val="00DA329D"/>
    <w:rsid w:val="00DA64E7"/>
    <w:rsid w:val="00DA7775"/>
    <w:rsid w:val="00DB00B7"/>
    <w:rsid w:val="00DB40DA"/>
    <w:rsid w:val="00DB4EB0"/>
    <w:rsid w:val="00DB68DE"/>
    <w:rsid w:val="00DC4153"/>
    <w:rsid w:val="00DC43AE"/>
    <w:rsid w:val="00DC4DB8"/>
    <w:rsid w:val="00DC51A9"/>
    <w:rsid w:val="00DC5B91"/>
    <w:rsid w:val="00DC6CF2"/>
    <w:rsid w:val="00DC7292"/>
    <w:rsid w:val="00DD19FA"/>
    <w:rsid w:val="00DD3E6E"/>
    <w:rsid w:val="00DD4C55"/>
    <w:rsid w:val="00DD5961"/>
    <w:rsid w:val="00DD6657"/>
    <w:rsid w:val="00DD6A93"/>
    <w:rsid w:val="00DD76BD"/>
    <w:rsid w:val="00DD7EE3"/>
    <w:rsid w:val="00DE1E8D"/>
    <w:rsid w:val="00DE5229"/>
    <w:rsid w:val="00DE54A8"/>
    <w:rsid w:val="00DE5C21"/>
    <w:rsid w:val="00DE6B40"/>
    <w:rsid w:val="00DF24FC"/>
    <w:rsid w:val="00DF3FDE"/>
    <w:rsid w:val="00DF4218"/>
    <w:rsid w:val="00DF64F9"/>
    <w:rsid w:val="00E02ADA"/>
    <w:rsid w:val="00E060E8"/>
    <w:rsid w:val="00E0766A"/>
    <w:rsid w:val="00E07B4A"/>
    <w:rsid w:val="00E12107"/>
    <w:rsid w:val="00E12113"/>
    <w:rsid w:val="00E1287D"/>
    <w:rsid w:val="00E137DF"/>
    <w:rsid w:val="00E1554A"/>
    <w:rsid w:val="00E15803"/>
    <w:rsid w:val="00E202A3"/>
    <w:rsid w:val="00E20903"/>
    <w:rsid w:val="00E2117E"/>
    <w:rsid w:val="00E22CF0"/>
    <w:rsid w:val="00E237CF"/>
    <w:rsid w:val="00E25C53"/>
    <w:rsid w:val="00E27185"/>
    <w:rsid w:val="00E32F1D"/>
    <w:rsid w:val="00E33438"/>
    <w:rsid w:val="00E33A20"/>
    <w:rsid w:val="00E4135E"/>
    <w:rsid w:val="00E42100"/>
    <w:rsid w:val="00E4317D"/>
    <w:rsid w:val="00E43F58"/>
    <w:rsid w:val="00E44561"/>
    <w:rsid w:val="00E47048"/>
    <w:rsid w:val="00E50D15"/>
    <w:rsid w:val="00E54BE3"/>
    <w:rsid w:val="00E55DD0"/>
    <w:rsid w:val="00E568EB"/>
    <w:rsid w:val="00E62B6A"/>
    <w:rsid w:val="00E63FA2"/>
    <w:rsid w:val="00E6491F"/>
    <w:rsid w:val="00E66A8F"/>
    <w:rsid w:val="00E67363"/>
    <w:rsid w:val="00E674EF"/>
    <w:rsid w:val="00E67554"/>
    <w:rsid w:val="00E7136D"/>
    <w:rsid w:val="00E75926"/>
    <w:rsid w:val="00E75F9C"/>
    <w:rsid w:val="00E7668C"/>
    <w:rsid w:val="00E76B1F"/>
    <w:rsid w:val="00E82065"/>
    <w:rsid w:val="00E8217F"/>
    <w:rsid w:val="00E85F08"/>
    <w:rsid w:val="00E91AB3"/>
    <w:rsid w:val="00E93182"/>
    <w:rsid w:val="00E95D2D"/>
    <w:rsid w:val="00EA001F"/>
    <w:rsid w:val="00EA01B6"/>
    <w:rsid w:val="00EA05A1"/>
    <w:rsid w:val="00EA1E20"/>
    <w:rsid w:val="00EA3374"/>
    <w:rsid w:val="00EA3D1B"/>
    <w:rsid w:val="00EA5AD3"/>
    <w:rsid w:val="00EA738C"/>
    <w:rsid w:val="00EB1354"/>
    <w:rsid w:val="00EB135E"/>
    <w:rsid w:val="00EB38E2"/>
    <w:rsid w:val="00EB5403"/>
    <w:rsid w:val="00EB6997"/>
    <w:rsid w:val="00EB6E21"/>
    <w:rsid w:val="00EB7272"/>
    <w:rsid w:val="00EC1F75"/>
    <w:rsid w:val="00EC24BF"/>
    <w:rsid w:val="00EC4475"/>
    <w:rsid w:val="00EC51DC"/>
    <w:rsid w:val="00EC5B31"/>
    <w:rsid w:val="00ED0CE2"/>
    <w:rsid w:val="00ED321F"/>
    <w:rsid w:val="00ED3286"/>
    <w:rsid w:val="00EE0BA6"/>
    <w:rsid w:val="00EE4BD6"/>
    <w:rsid w:val="00EE6FA0"/>
    <w:rsid w:val="00EF03CD"/>
    <w:rsid w:val="00EF240D"/>
    <w:rsid w:val="00EF270A"/>
    <w:rsid w:val="00EF298D"/>
    <w:rsid w:val="00EF3EE7"/>
    <w:rsid w:val="00EF6D51"/>
    <w:rsid w:val="00F017D6"/>
    <w:rsid w:val="00F04867"/>
    <w:rsid w:val="00F05D03"/>
    <w:rsid w:val="00F074C4"/>
    <w:rsid w:val="00F07740"/>
    <w:rsid w:val="00F07953"/>
    <w:rsid w:val="00F10970"/>
    <w:rsid w:val="00F1207D"/>
    <w:rsid w:val="00F15E2F"/>
    <w:rsid w:val="00F16697"/>
    <w:rsid w:val="00F17B5B"/>
    <w:rsid w:val="00F17BAF"/>
    <w:rsid w:val="00F17ED8"/>
    <w:rsid w:val="00F21038"/>
    <w:rsid w:val="00F21A66"/>
    <w:rsid w:val="00F2235B"/>
    <w:rsid w:val="00F22814"/>
    <w:rsid w:val="00F23281"/>
    <w:rsid w:val="00F23D7F"/>
    <w:rsid w:val="00F23E3E"/>
    <w:rsid w:val="00F249AA"/>
    <w:rsid w:val="00F24E28"/>
    <w:rsid w:val="00F26733"/>
    <w:rsid w:val="00F26883"/>
    <w:rsid w:val="00F2712D"/>
    <w:rsid w:val="00F2725C"/>
    <w:rsid w:val="00F27505"/>
    <w:rsid w:val="00F310C5"/>
    <w:rsid w:val="00F33CF9"/>
    <w:rsid w:val="00F342F1"/>
    <w:rsid w:val="00F343DC"/>
    <w:rsid w:val="00F3562F"/>
    <w:rsid w:val="00F356BF"/>
    <w:rsid w:val="00F35BA8"/>
    <w:rsid w:val="00F363E5"/>
    <w:rsid w:val="00F36923"/>
    <w:rsid w:val="00F36E4D"/>
    <w:rsid w:val="00F40697"/>
    <w:rsid w:val="00F41EFE"/>
    <w:rsid w:val="00F4582C"/>
    <w:rsid w:val="00F505E1"/>
    <w:rsid w:val="00F52DBF"/>
    <w:rsid w:val="00F567C0"/>
    <w:rsid w:val="00F57312"/>
    <w:rsid w:val="00F578C5"/>
    <w:rsid w:val="00F57B41"/>
    <w:rsid w:val="00F61BF4"/>
    <w:rsid w:val="00F6392D"/>
    <w:rsid w:val="00F64014"/>
    <w:rsid w:val="00F65F63"/>
    <w:rsid w:val="00F66486"/>
    <w:rsid w:val="00F66495"/>
    <w:rsid w:val="00F71F97"/>
    <w:rsid w:val="00F72B43"/>
    <w:rsid w:val="00F73075"/>
    <w:rsid w:val="00F76A2F"/>
    <w:rsid w:val="00F81A58"/>
    <w:rsid w:val="00F82A0B"/>
    <w:rsid w:val="00F83EE4"/>
    <w:rsid w:val="00F91B9E"/>
    <w:rsid w:val="00F9368F"/>
    <w:rsid w:val="00F936C6"/>
    <w:rsid w:val="00F95596"/>
    <w:rsid w:val="00F96888"/>
    <w:rsid w:val="00F97186"/>
    <w:rsid w:val="00FA01CA"/>
    <w:rsid w:val="00FA0D9F"/>
    <w:rsid w:val="00FA1785"/>
    <w:rsid w:val="00FA503C"/>
    <w:rsid w:val="00FA517C"/>
    <w:rsid w:val="00FA62B8"/>
    <w:rsid w:val="00FB0EBA"/>
    <w:rsid w:val="00FB2503"/>
    <w:rsid w:val="00FC2951"/>
    <w:rsid w:val="00FC508F"/>
    <w:rsid w:val="00FC5925"/>
    <w:rsid w:val="00FC6E92"/>
    <w:rsid w:val="00FC73DF"/>
    <w:rsid w:val="00FD1413"/>
    <w:rsid w:val="00FD3455"/>
    <w:rsid w:val="00FD35E9"/>
    <w:rsid w:val="00FD5DD1"/>
    <w:rsid w:val="00FE0B6F"/>
    <w:rsid w:val="00FE1B88"/>
    <w:rsid w:val="00FE2D21"/>
    <w:rsid w:val="00FF2653"/>
    <w:rsid w:val="00FF3004"/>
    <w:rsid w:val="00FF436B"/>
    <w:rsid w:val="00FF4564"/>
    <w:rsid w:val="00FF4C7A"/>
    <w:rsid w:val="00FF4F62"/>
    <w:rsid w:val="00FF5764"/>
    <w:rsid w:val="00FF63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63D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A1D"/>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896C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896C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896C2F"/>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896C2F"/>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896C2F"/>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896C2F"/>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896C2F"/>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896C2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896C2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96C2F"/>
    <w:pPr>
      <w:ind w:left="720"/>
      <w:contextualSpacing/>
    </w:pPr>
  </w:style>
  <w:style w:type="paragraph" w:styleId="NormalWeb">
    <w:name w:val="Normal (Web)"/>
    <w:basedOn w:val="Normal"/>
    <w:uiPriority w:val="99"/>
    <w:unhideWhenUsed/>
    <w:rsid w:val="00F2712D"/>
    <w:pPr>
      <w:spacing w:before="100" w:beforeAutospacing="1" w:after="100" w:afterAutospacing="1"/>
    </w:pPr>
  </w:style>
  <w:style w:type="paragraph" w:customStyle="1" w:styleId="CorpsA">
    <w:name w:val="Corps A"/>
    <w:rsid w:val="00AB0CE7"/>
    <w:pPr>
      <w:pBdr>
        <w:top w:val="nil"/>
        <w:left w:val="nil"/>
        <w:bottom w:val="nil"/>
        <w:right w:val="nil"/>
        <w:between w:val="nil"/>
        <w:bar w:val="nil"/>
      </w:pBdr>
    </w:pPr>
    <w:rPr>
      <w:rFonts w:ascii="Cambria" w:eastAsia="Cambria" w:hAnsi="Cambria" w:cs="Cambria"/>
      <w:color w:val="000000"/>
      <w:u w:color="000000"/>
      <w:bdr w:val="nil"/>
      <w:lang w:val="fr-FR" w:eastAsia="fr-FR"/>
    </w:rPr>
  </w:style>
  <w:style w:type="character" w:styleId="Accentuation">
    <w:name w:val="Emphasis"/>
    <w:uiPriority w:val="20"/>
    <w:qFormat/>
    <w:rsid w:val="00896C2F"/>
    <w:rPr>
      <w:i/>
      <w:iCs/>
    </w:rPr>
  </w:style>
  <w:style w:type="paragraph" w:styleId="Notedebasdepage">
    <w:name w:val="footnote text"/>
    <w:basedOn w:val="Normal"/>
    <w:link w:val="NotedebasdepageCar"/>
    <w:uiPriority w:val="99"/>
    <w:semiHidden/>
    <w:unhideWhenUsed/>
    <w:rsid w:val="00731284"/>
    <w:rPr>
      <w:sz w:val="20"/>
      <w:szCs w:val="20"/>
    </w:rPr>
  </w:style>
  <w:style w:type="character" w:customStyle="1" w:styleId="NotedebasdepageCar">
    <w:name w:val="Note de bas de page Car"/>
    <w:basedOn w:val="Policepardfaut"/>
    <w:link w:val="Notedebasdepage"/>
    <w:uiPriority w:val="99"/>
    <w:semiHidden/>
    <w:rsid w:val="00731284"/>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31284"/>
    <w:rPr>
      <w:vertAlign w:val="superscript"/>
    </w:rPr>
  </w:style>
  <w:style w:type="character" w:styleId="Lienhypertexte">
    <w:name w:val="Hyperlink"/>
    <w:basedOn w:val="Policepardfaut"/>
    <w:uiPriority w:val="99"/>
    <w:unhideWhenUsed/>
    <w:rsid w:val="0052715E"/>
    <w:rPr>
      <w:color w:val="0563C1" w:themeColor="hyperlink"/>
      <w:u w:val="single"/>
    </w:rPr>
  </w:style>
  <w:style w:type="character" w:styleId="Mentionnonrsolue">
    <w:name w:val="Unresolved Mention"/>
    <w:basedOn w:val="Policepardfaut"/>
    <w:uiPriority w:val="99"/>
    <w:semiHidden/>
    <w:unhideWhenUsed/>
    <w:rsid w:val="0052715E"/>
    <w:rPr>
      <w:color w:val="605E5C"/>
      <w:shd w:val="clear" w:color="auto" w:fill="E1DFDD"/>
    </w:rPr>
  </w:style>
  <w:style w:type="character" w:customStyle="1" w:styleId="apple-converted-space">
    <w:name w:val="apple-converted-space"/>
    <w:basedOn w:val="Policepardfaut"/>
    <w:rsid w:val="00F27505"/>
  </w:style>
  <w:style w:type="paragraph" w:customStyle="1" w:styleId="PersonalName">
    <w:name w:val="Personal Name"/>
    <w:basedOn w:val="Titre"/>
    <w:rsid w:val="00896C2F"/>
    <w:rPr>
      <w:b/>
      <w:caps/>
      <w:color w:val="000000"/>
      <w:sz w:val="28"/>
      <w:szCs w:val="28"/>
    </w:rPr>
  </w:style>
  <w:style w:type="paragraph" w:styleId="Titre">
    <w:name w:val="Title"/>
    <w:basedOn w:val="Normal"/>
    <w:next w:val="Normal"/>
    <w:link w:val="TitreCar"/>
    <w:uiPriority w:val="10"/>
    <w:qFormat/>
    <w:rsid w:val="00896C2F"/>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96C2F"/>
    <w:rPr>
      <w:rFonts w:asciiTheme="majorHAnsi" w:eastAsiaTheme="majorEastAsia" w:hAnsiTheme="majorHAnsi" w:cstheme="majorBidi"/>
      <w:spacing w:val="-10"/>
      <w:kern w:val="28"/>
      <w:sz w:val="56"/>
      <w:szCs w:val="56"/>
      <w:lang w:val="fr-FR"/>
    </w:rPr>
  </w:style>
  <w:style w:type="character" w:customStyle="1" w:styleId="Titre1Car">
    <w:name w:val="Titre 1 Car"/>
    <w:basedOn w:val="Policepardfaut"/>
    <w:link w:val="Titre1"/>
    <w:uiPriority w:val="9"/>
    <w:rsid w:val="00896C2F"/>
    <w:rPr>
      <w:rFonts w:asciiTheme="majorHAnsi" w:eastAsiaTheme="majorEastAsia" w:hAnsiTheme="majorHAnsi" w:cstheme="majorBidi"/>
      <w:color w:val="2F5496" w:themeColor="accent1" w:themeShade="BF"/>
      <w:sz w:val="32"/>
      <w:szCs w:val="32"/>
      <w:lang w:val="fr-FR"/>
    </w:rPr>
  </w:style>
  <w:style w:type="character" w:customStyle="1" w:styleId="Titre2Car">
    <w:name w:val="Titre 2 Car"/>
    <w:basedOn w:val="Policepardfaut"/>
    <w:link w:val="Titre2"/>
    <w:uiPriority w:val="9"/>
    <w:semiHidden/>
    <w:rsid w:val="00896C2F"/>
    <w:rPr>
      <w:rFonts w:asciiTheme="majorHAnsi" w:eastAsiaTheme="majorEastAsia" w:hAnsiTheme="majorHAnsi" w:cstheme="majorBidi"/>
      <w:color w:val="2F5496" w:themeColor="accent1" w:themeShade="BF"/>
      <w:sz w:val="26"/>
      <w:szCs w:val="26"/>
      <w:lang w:val="fr-FR"/>
    </w:rPr>
  </w:style>
  <w:style w:type="character" w:customStyle="1" w:styleId="Titre3Car">
    <w:name w:val="Titre 3 Car"/>
    <w:basedOn w:val="Policepardfaut"/>
    <w:link w:val="Titre3"/>
    <w:uiPriority w:val="9"/>
    <w:rsid w:val="00896C2F"/>
    <w:rPr>
      <w:rFonts w:asciiTheme="majorHAnsi" w:eastAsiaTheme="majorEastAsia" w:hAnsiTheme="majorHAnsi" w:cstheme="majorBidi"/>
      <w:color w:val="1F3763" w:themeColor="accent1" w:themeShade="7F"/>
      <w:lang w:val="fr-FR"/>
    </w:rPr>
  </w:style>
  <w:style w:type="character" w:customStyle="1" w:styleId="Titre4Car">
    <w:name w:val="Titre 4 Car"/>
    <w:basedOn w:val="Policepardfaut"/>
    <w:link w:val="Titre4"/>
    <w:uiPriority w:val="9"/>
    <w:semiHidden/>
    <w:rsid w:val="00896C2F"/>
    <w:rPr>
      <w:rFonts w:asciiTheme="majorHAnsi" w:eastAsiaTheme="majorEastAsia" w:hAnsiTheme="majorHAnsi" w:cstheme="majorBidi"/>
      <w:i/>
      <w:iCs/>
      <w:color w:val="2F5496" w:themeColor="accent1" w:themeShade="BF"/>
      <w:lang w:val="fr-FR"/>
    </w:rPr>
  </w:style>
  <w:style w:type="character" w:customStyle="1" w:styleId="Titre5Car">
    <w:name w:val="Titre 5 Car"/>
    <w:basedOn w:val="Policepardfaut"/>
    <w:link w:val="Titre5"/>
    <w:uiPriority w:val="9"/>
    <w:semiHidden/>
    <w:rsid w:val="00896C2F"/>
    <w:rPr>
      <w:rFonts w:asciiTheme="majorHAnsi" w:eastAsiaTheme="majorEastAsia" w:hAnsiTheme="majorHAnsi" w:cstheme="majorBidi"/>
      <w:color w:val="2F5496" w:themeColor="accent1" w:themeShade="BF"/>
      <w:lang w:val="fr-FR"/>
    </w:rPr>
  </w:style>
  <w:style w:type="character" w:customStyle="1" w:styleId="Titre6Car">
    <w:name w:val="Titre 6 Car"/>
    <w:basedOn w:val="Policepardfaut"/>
    <w:link w:val="Titre6"/>
    <w:uiPriority w:val="9"/>
    <w:semiHidden/>
    <w:rsid w:val="00896C2F"/>
    <w:rPr>
      <w:rFonts w:asciiTheme="majorHAnsi" w:eastAsiaTheme="majorEastAsia" w:hAnsiTheme="majorHAnsi" w:cstheme="majorBidi"/>
      <w:color w:val="1F3763" w:themeColor="accent1" w:themeShade="7F"/>
      <w:lang w:val="fr-FR"/>
    </w:rPr>
  </w:style>
  <w:style w:type="character" w:customStyle="1" w:styleId="Titre7Car">
    <w:name w:val="Titre 7 Car"/>
    <w:basedOn w:val="Policepardfaut"/>
    <w:link w:val="Titre7"/>
    <w:uiPriority w:val="9"/>
    <w:semiHidden/>
    <w:rsid w:val="00896C2F"/>
    <w:rPr>
      <w:rFonts w:asciiTheme="majorHAnsi" w:eastAsiaTheme="majorEastAsia" w:hAnsiTheme="majorHAnsi" w:cstheme="majorBidi"/>
      <w:i/>
      <w:iCs/>
      <w:color w:val="1F3763" w:themeColor="accent1" w:themeShade="7F"/>
      <w:lang w:val="fr-FR"/>
    </w:rPr>
  </w:style>
  <w:style w:type="character" w:customStyle="1" w:styleId="Titre8Car">
    <w:name w:val="Titre 8 Car"/>
    <w:basedOn w:val="Policepardfaut"/>
    <w:link w:val="Titre8"/>
    <w:uiPriority w:val="9"/>
    <w:semiHidden/>
    <w:rsid w:val="00896C2F"/>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896C2F"/>
    <w:rPr>
      <w:rFonts w:asciiTheme="majorHAnsi" w:eastAsiaTheme="majorEastAsia" w:hAnsiTheme="majorHAnsi" w:cstheme="majorBidi"/>
      <w:i/>
      <w:iCs/>
      <w:color w:val="272727" w:themeColor="text1" w:themeTint="D8"/>
      <w:sz w:val="21"/>
      <w:szCs w:val="21"/>
      <w:lang w:val="fr-FR"/>
    </w:rPr>
  </w:style>
  <w:style w:type="paragraph" w:styleId="Lgende">
    <w:name w:val="caption"/>
    <w:basedOn w:val="Normal"/>
    <w:next w:val="Normal"/>
    <w:uiPriority w:val="35"/>
    <w:semiHidden/>
    <w:unhideWhenUsed/>
    <w:qFormat/>
    <w:rsid w:val="00896C2F"/>
    <w:pPr>
      <w:spacing w:after="200"/>
    </w:pPr>
    <w:rPr>
      <w:i/>
      <w:iCs/>
      <w:color w:val="44546A" w:themeColor="text2"/>
      <w:sz w:val="18"/>
      <w:szCs w:val="18"/>
    </w:rPr>
  </w:style>
  <w:style w:type="paragraph" w:styleId="Sous-titre">
    <w:name w:val="Subtitle"/>
    <w:basedOn w:val="Normal"/>
    <w:next w:val="Normal"/>
    <w:link w:val="Sous-titreCar"/>
    <w:uiPriority w:val="11"/>
    <w:qFormat/>
    <w:rsid w:val="00896C2F"/>
    <w:pPr>
      <w:numPr>
        <w:ilvl w:val="1"/>
      </w:numPr>
      <w:spacing w:after="160"/>
    </w:pPr>
    <w:rPr>
      <w:rFonts w:eastAsiaTheme="minorEastAsia"/>
      <w:color w:val="5A5A5A" w:themeColor="text1" w:themeTint="A5"/>
      <w:spacing w:val="15"/>
      <w:sz w:val="22"/>
      <w:szCs w:val="22"/>
    </w:rPr>
  </w:style>
  <w:style w:type="character" w:customStyle="1" w:styleId="Sous-titreCar">
    <w:name w:val="Sous-titre Car"/>
    <w:basedOn w:val="Policepardfaut"/>
    <w:link w:val="Sous-titre"/>
    <w:uiPriority w:val="11"/>
    <w:rsid w:val="00896C2F"/>
    <w:rPr>
      <w:rFonts w:eastAsiaTheme="minorEastAsia"/>
      <w:color w:val="5A5A5A" w:themeColor="text1" w:themeTint="A5"/>
      <w:spacing w:val="15"/>
      <w:sz w:val="22"/>
      <w:szCs w:val="22"/>
      <w:lang w:val="fr-FR"/>
    </w:rPr>
  </w:style>
  <w:style w:type="character" w:styleId="lev">
    <w:name w:val="Strong"/>
    <w:uiPriority w:val="22"/>
    <w:qFormat/>
    <w:rsid w:val="00896C2F"/>
    <w:rPr>
      <w:b/>
      <w:bCs/>
    </w:rPr>
  </w:style>
  <w:style w:type="paragraph" w:styleId="Sansinterligne">
    <w:name w:val="No Spacing"/>
    <w:basedOn w:val="Normal"/>
    <w:link w:val="SansinterligneCar"/>
    <w:uiPriority w:val="1"/>
    <w:qFormat/>
    <w:rsid w:val="00896C2F"/>
  </w:style>
  <w:style w:type="character" w:customStyle="1" w:styleId="SansinterligneCar">
    <w:name w:val="Sans interligne Car"/>
    <w:basedOn w:val="Policepardfaut"/>
    <w:link w:val="Sansinterligne"/>
    <w:uiPriority w:val="1"/>
    <w:rsid w:val="00896C2F"/>
    <w:rPr>
      <w:lang w:val="fr-FR"/>
    </w:rPr>
  </w:style>
  <w:style w:type="paragraph" w:styleId="Citation">
    <w:name w:val="Quote"/>
    <w:basedOn w:val="Normal"/>
    <w:next w:val="Normal"/>
    <w:link w:val="CitationCar"/>
    <w:uiPriority w:val="29"/>
    <w:qFormat/>
    <w:rsid w:val="00896C2F"/>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896C2F"/>
    <w:rPr>
      <w:i/>
      <w:iCs/>
      <w:color w:val="404040" w:themeColor="text1" w:themeTint="BF"/>
      <w:lang w:val="fr-FR"/>
    </w:rPr>
  </w:style>
  <w:style w:type="paragraph" w:styleId="Citationintense">
    <w:name w:val="Intense Quote"/>
    <w:basedOn w:val="Normal"/>
    <w:next w:val="Normal"/>
    <w:link w:val="CitationintenseCar"/>
    <w:uiPriority w:val="30"/>
    <w:qFormat/>
    <w:rsid w:val="00896C2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896C2F"/>
    <w:rPr>
      <w:i/>
      <w:iCs/>
      <w:color w:val="4472C4" w:themeColor="accent1"/>
      <w:lang w:val="fr-FR"/>
    </w:rPr>
  </w:style>
  <w:style w:type="character" w:styleId="Accentuationlgre">
    <w:name w:val="Subtle Emphasis"/>
    <w:uiPriority w:val="19"/>
    <w:qFormat/>
    <w:rsid w:val="00896C2F"/>
    <w:rPr>
      <w:i/>
      <w:iCs/>
      <w:color w:val="404040" w:themeColor="text1" w:themeTint="BF"/>
    </w:rPr>
  </w:style>
  <w:style w:type="character" w:styleId="Accentuationintense">
    <w:name w:val="Intense Emphasis"/>
    <w:uiPriority w:val="21"/>
    <w:qFormat/>
    <w:rsid w:val="00896C2F"/>
    <w:rPr>
      <w:i/>
      <w:iCs/>
      <w:color w:val="4472C4" w:themeColor="accent1"/>
    </w:rPr>
  </w:style>
  <w:style w:type="character" w:styleId="Rfrencelgre">
    <w:name w:val="Subtle Reference"/>
    <w:uiPriority w:val="31"/>
    <w:qFormat/>
    <w:rsid w:val="00896C2F"/>
    <w:rPr>
      <w:smallCaps/>
      <w:color w:val="5A5A5A" w:themeColor="text1" w:themeTint="A5"/>
    </w:rPr>
  </w:style>
  <w:style w:type="character" w:styleId="Rfrenceintense">
    <w:name w:val="Intense Reference"/>
    <w:uiPriority w:val="32"/>
    <w:qFormat/>
    <w:rsid w:val="00896C2F"/>
    <w:rPr>
      <w:b/>
      <w:bCs/>
      <w:smallCaps/>
      <w:color w:val="4472C4" w:themeColor="accent1"/>
      <w:spacing w:val="5"/>
    </w:rPr>
  </w:style>
  <w:style w:type="character" w:styleId="Titredulivre">
    <w:name w:val="Book Title"/>
    <w:uiPriority w:val="33"/>
    <w:qFormat/>
    <w:rsid w:val="00896C2F"/>
    <w:rPr>
      <w:b/>
      <w:bCs/>
      <w:i/>
      <w:iCs/>
      <w:spacing w:val="5"/>
    </w:rPr>
  </w:style>
  <w:style w:type="paragraph" w:styleId="En-ttedetabledesmatires">
    <w:name w:val="TOC Heading"/>
    <w:basedOn w:val="Titre1"/>
    <w:next w:val="Normal"/>
    <w:uiPriority w:val="39"/>
    <w:semiHidden/>
    <w:unhideWhenUsed/>
    <w:qFormat/>
    <w:rsid w:val="00896C2F"/>
    <w:pPr>
      <w:outlineLvl w:val="9"/>
    </w:pPr>
  </w:style>
  <w:style w:type="paragraph" w:styleId="Pieddepage">
    <w:name w:val="footer"/>
    <w:basedOn w:val="Normal"/>
    <w:link w:val="PieddepageCar"/>
    <w:uiPriority w:val="99"/>
    <w:unhideWhenUsed/>
    <w:rsid w:val="00F71F97"/>
    <w:pPr>
      <w:tabs>
        <w:tab w:val="center" w:pos="4536"/>
        <w:tab w:val="right" w:pos="9072"/>
      </w:tabs>
    </w:pPr>
  </w:style>
  <w:style w:type="character" w:customStyle="1" w:styleId="PieddepageCar">
    <w:name w:val="Pied de page Car"/>
    <w:basedOn w:val="Policepardfaut"/>
    <w:link w:val="Pieddepage"/>
    <w:uiPriority w:val="99"/>
    <w:rsid w:val="00F71F97"/>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F71F97"/>
  </w:style>
  <w:style w:type="character" w:styleId="Lienhypertextesuivivisit">
    <w:name w:val="FollowedHyperlink"/>
    <w:basedOn w:val="Policepardfaut"/>
    <w:uiPriority w:val="99"/>
    <w:semiHidden/>
    <w:unhideWhenUsed/>
    <w:rsid w:val="007B61EB"/>
    <w:rPr>
      <w:color w:val="954F72" w:themeColor="followedHyperlink"/>
      <w:u w:val="single"/>
    </w:rPr>
  </w:style>
  <w:style w:type="character" w:customStyle="1" w:styleId="mord">
    <w:name w:val="mord"/>
    <w:basedOn w:val="Policepardfaut"/>
    <w:rsid w:val="00D96B29"/>
  </w:style>
  <w:style w:type="character" w:customStyle="1" w:styleId="relative">
    <w:name w:val="relative"/>
    <w:basedOn w:val="Policepardfaut"/>
    <w:rsid w:val="001C2DF2"/>
  </w:style>
  <w:style w:type="character" w:customStyle="1" w:styleId="ms-1">
    <w:name w:val="ms-1"/>
    <w:basedOn w:val="Policepardfaut"/>
    <w:rsid w:val="001C2DF2"/>
  </w:style>
  <w:style w:type="character" w:customStyle="1" w:styleId="max-w-full">
    <w:name w:val="max-w-full"/>
    <w:basedOn w:val="Policepardfaut"/>
    <w:rsid w:val="001C2DF2"/>
  </w:style>
  <w:style w:type="character" w:styleId="Marquedecommentaire">
    <w:name w:val="annotation reference"/>
    <w:basedOn w:val="Policepardfaut"/>
    <w:uiPriority w:val="99"/>
    <w:semiHidden/>
    <w:unhideWhenUsed/>
    <w:rsid w:val="00AC5919"/>
    <w:rPr>
      <w:sz w:val="16"/>
      <w:szCs w:val="16"/>
    </w:rPr>
  </w:style>
  <w:style w:type="paragraph" w:styleId="Commentaire">
    <w:name w:val="annotation text"/>
    <w:basedOn w:val="Normal"/>
    <w:link w:val="CommentaireCar"/>
    <w:uiPriority w:val="99"/>
    <w:unhideWhenUsed/>
    <w:rsid w:val="00AC5919"/>
    <w:rPr>
      <w:sz w:val="20"/>
      <w:szCs w:val="20"/>
    </w:rPr>
  </w:style>
  <w:style w:type="character" w:customStyle="1" w:styleId="CommentaireCar">
    <w:name w:val="Commentaire Car"/>
    <w:basedOn w:val="Policepardfaut"/>
    <w:link w:val="Commentaire"/>
    <w:uiPriority w:val="99"/>
    <w:rsid w:val="00AC5919"/>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C5919"/>
    <w:rPr>
      <w:b/>
      <w:bCs/>
    </w:rPr>
  </w:style>
  <w:style w:type="character" w:customStyle="1" w:styleId="ObjetducommentaireCar">
    <w:name w:val="Objet du commentaire Car"/>
    <w:basedOn w:val="CommentaireCar"/>
    <w:link w:val="Objetducommentaire"/>
    <w:uiPriority w:val="99"/>
    <w:semiHidden/>
    <w:rsid w:val="00AC5919"/>
    <w:rPr>
      <w:rFonts w:ascii="Times New Roman" w:eastAsia="Times New Roman" w:hAnsi="Times New Roman" w:cs="Times New Roman"/>
      <w:b/>
      <w:bCs/>
      <w:sz w:val="20"/>
      <w:szCs w:val="20"/>
      <w:lang w:eastAsia="fr-FR"/>
    </w:rPr>
  </w:style>
  <w:style w:type="paragraph" w:styleId="Rvision">
    <w:name w:val="Revision"/>
    <w:hidden/>
    <w:uiPriority w:val="99"/>
    <w:semiHidden/>
    <w:rsid w:val="00AC5919"/>
    <w:rPr>
      <w:rFonts w:ascii="Times New Roman" w:eastAsia="Times New Roman" w:hAnsi="Times New Roman" w:cs="Times New Roman"/>
      <w:lang w:eastAsia="fr-FR"/>
    </w:rPr>
  </w:style>
  <w:style w:type="paragraph" w:styleId="En-tte">
    <w:name w:val="header"/>
    <w:basedOn w:val="Normal"/>
    <w:link w:val="En-tteCar"/>
    <w:uiPriority w:val="99"/>
    <w:unhideWhenUsed/>
    <w:rsid w:val="00D02EE5"/>
    <w:pPr>
      <w:tabs>
        <w:tab w:val="center" w:pos="4536"/>
        <w:tab w:val="right" w:pos="9072"/>
      </w:tabs>
    </w:pPr>
  </w:style>
  <w:style w:type="character" w:customStyle="1" w:styleId="En-tteCar">
    <w:name w:val="En-tête Car"/>
    <w:basedOn w:val="Policepardfaut"/>
    <w:link w:val="En-tte"/>
    <w:uiPriority w:val="99"/>
    <w:rsid w:val="00D02EE5"/>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021">
      <w:bodyDiv w:val="1"/>
      <w:marLeft w:val="0"/>
      <w:marRight w:val="0"/>
      <w:marTop w:val="0"/>
      <w:marBottom w:val="0"/>
      <w:divBdr>
        <w:top w:val="none" w:sz="0" w:space="0" w:color="auto"/>
        <w:left w:val="none" w:sz="0" w:space="0" w:color="auto"/>
        <w:bottom w:val="none" w:sz="0" w:space="0" w:color="auto"/>
        <w:right w:val="none" w:sz="0" w:space="0" w:color="auto"/>
      </w:divBdr>
    </w:div>
    <w:div w:id="2587847">
      <w:bodyDiv w:val="1"/>
      <w:marLeft w:val="0"/>
      <w:marRight w:val="0"/>
      <w:marTop w:val="0"/>
      <w:marBottom w:val="0"/>
      <w:divBdr>
        <w:top w:val="none" w:sz="0" w:space="0" w:color="auto"/>
        <w:left w:val="none" w:sz="0" w:space="0" w:color="auto"/>
        <w:bottom w:val="none" w:sz="0" w:space="0" w:color="auto"/>
        <w:right w:val="none" w:sz="0" w:space="0" w:color="auto"/>
      </w:divBdr>
    </w:div>
    <w:div w:id="128285689">
      <w:bodyDiv w:val="1"/>
      <w:marLeft w:val="0"/>
      <w:marRight w:val="0"/>
      <w:marTop w:val="0"/>
      <w:marBottom w:val="0"/>
      <w:divBdr>
        <w:top w:val="none" w:sz="0" w:space="0" w:color="auto"/>
        <w:left w:val="none" w:sz="0" w:space="0" w:color="auto"/>
        <w:bottom w:val="none" w:sz="0" w:space="0" w:color="auto"/>
        <w:right w:val="none" w:sz="0" w:space="0" w:color="auto"/>
      </w:divBdr>
      <w:divsChild>
        <w:div w:id="839740517">
          <w:marLeft w:val="0"/>
          <w:marRight w:val="0"/>
          <w:marTop w:val="0"/>
          <w:marBottom w:val="0"/>
          <w:divBdr>
            <w:top w:val="none" w:sz="0" w:space="0" w:color="auto"/>
            <w:left w:val="none" w:sz="0" w:space="0" w:color="auto"/>
            <w:bottom w:val="none" w:sz="0" w:space="0" w:color="auto"/>
            <w:right w:val="none" w:sz="0" w:space="0" w:color="auto"/>
          </w:divBdr>
          <w:divsChild>
            <w:div w:id="1277712565">
              <w:marLeft w:val="0"/>
              <w:marRight w:val="0"/>
              <w:marTop w:val="0"/>
              <w:marBottom w:val="0"/>
              <w:divBdr>
                <w:top w:val="none" w:sz="0" w:space="0" w:color="auto"/>
                <w:left w:val="none" w:sz="0" w:space="0" w:color="auto"/>
                <w:bottom w:val="none" w:sz="0" w:space="0" w:color="auto"/>
                <w:right w:val="none" w:sz="0" w:space="0" w:color="auto"/>
              </w:divBdr>
              <w:divsChild>
                <w:div w:id="1620530461">
                  <w:marLeft w:val="0"/>
                  <w:marRight w:val="0"/>
                  <w:marTop w:val="0"/>
                  <w:marBottom w:val="0"/>
                  <w:divBdr>
                    <w:top w:val="none" w:sz="0" w:space="0" w:color="auto"/>
                    <w:left w:val="none" w:sz="0" w:space="0" w:color="auto"/>
                    <w:bottom w:val="none" w:sz="0" w:space="0" w:color="auto"/>
                    <w:right w:val="none" w:sz="0" w:space="0" w:color="auto"/>
                  </w:divBdr>
                  <w:divsChild>
                    <w:div w:id="72668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61587">
      <w:bodyDiv w:val="1"/>
      <w:marLeft w:val="0"/>
      <w:marRight w:val="0"/>
      <w:marTop w:val="0"/>
      <w:marBottom w:val="0"/>
      <w:divBdr>
        <w:top w:val="none" w:sz="0" w:space="0" w:color="auto"/>
        <w:left w:val="none" w:sz="0" w:space="0" w:color="auto"/>
        <w:bottom w:val="none" w:sz="0" w:space="0" w:color="auto"/>
        <w:right w:val="none" w:sz="0" w:space="0" w:color="auto"/>
      </w:divBdr>
    </w:div>
    <w:div w:id="160975637">
      <w:bodyDiv w:val="1"/>
      <w:marLeft w:val="0"/>
      <w:marRight w:val="0"/>
      <w:marTop w:val="0"/>
      <w:marBottom w:val="0"/>
      <w:divBdr>
        <w:top w:val="none" w:sz="0" w:space="0" w:color="auto"/>
        <w:left w:val="none" w:sz="0" w:space="0" w:color="auto"/>
        <w:bottom w:val="none" w:sz="0" w:space="0" w:color="auto"/>
        <w:right w:val="none" w:sz="0" w:space="0" w:color="auto"/>
      </w:divBdr>
    </w:div>
    <w:div w:id="191916610">
      <w:bodyDiv w:val="1"/>
      <w:marLeft w:val="0"/>
      <w:marRight w:val="0"/>
      <w:marTop w:val="0"/>
      <w:marBottom w:val="0"/>
      <w:divBdr>
        <w:top w:val="none" w:sz="0" w:space="0" w:color="auto"/>
        <w:left w:val="none" w:sz="0" w:space="0" w:color="auto"/>
        <w:bottom w:val="none" w:sz="0" w:space="0" w:color="auto"/>
        <w:right w:val="none" w:sz="0" w:space="0" w:color="auto"/>
      </w:divBdr>
    </w:div>
    <w:div w:id="195432585">
      <w:bodyDiv w:val="1"/>
      <w:marLeft w:val="0"/>
      <w:marRight w:val="0"/>
      <w:marTop w:val="0"/>
      <w:marBottom w:val="0"/>
      <w:divBdr>
        <w:top w:val="none" w:sz="0" w:space="0" w:color="auto"/>
        <w:left w:val="none" w:sz="0" w:space="0" w:color="auto"/>
        <w:bottom w:val="none" w:sz="0" w:space="0" w:color="auto"/>
        <w:right w:val="none" w:sz="0" w:space="0" w:color="auto"/>
      </w:divBdr>
    </w:div>
    <w:div w:id="259414874">
      <w:bodyDiv w:val="1"/>
      <w:marLeft w:val="0"/>
      <w:marRight w:val="0"/>
      <w:marTop w:val="0"/>
      <w:marBottom w:val="0"/>
      <w:divBdr>
        <w:top w:val="none" w:sz="0" w:space="0" w:color="auto"/>
        <w:left w:val="none" w:sz="0" w:space="0" w:color="auto"/>
        <w:bottom w:val="none" w:sz="0" w:space="0" w:color="auto"/>
        <w:right w:val="none" w:sz="0" w:space="0" w:color="auto"/>
      </w:divBdr>
    </w:div>
    <w:div w:id="295993121">
      <w:bodyDiv w:val="1"/>
      <w:marLeft w:val="0"/>
      <w:marRight w:val="0"/>
      <w:marTop w:val="0"/>
      <w:marBottom w:val="0"/>
      <w:divBdr>
        <w:top w:val="none" w:sz="0" w:space="0" w:color="auto"/>
        <w:left w:val="none" w:sz="0" w:space="0" w:color="auto"/>
        <w:bottom w:val="none" w:sz="0" w:space="0" w:color="auto"/>
        <w:right w:val="none" w:sz="0" w:space="0" w:color="auto"/>
      </w:divBdr>
    </w:div>
    <w:div w:id="298728651">
      <w:bodyDiv w:val="1"/>
      <w:marLeft w:val="0"/>
      <w:marRight w:val="0"/>
      <w:marTop w:val="0"/>
      <w:marBottom w:val="0"/>
      <w:divBdr>
        <w:top w:val="none" w:sz="0" w:space="0" w:color="auto"/>
        <w:left w:val="none" w:sz="0" w:space="0" w:color="auto"/>
        <w:bottom w:val="none" w:sz="0" w:space="0" w:color="auto"/>
        <w:right w:val="none" w:sz="0" w:space="0" w:color="auto"/>
      </w:divBdr>
    </w:div>
    <w:div w:id="317534736">
      <w:bodyDiv w:val="1"/>
      <w:marLeft w:val="0"/>
      <w:marRight w:val="0"/>
      <w:marTop w:val="0"/>
      <w:marBottom w:val="0"/>
      <w:divBdr>
        <w:top w:val="none" w:sz="0" w:space="0" w:color="auto"/>
        <w:left w:val="none" w:sz="0" w:space="0" w:color="auto"/>
        <w:bottom w:val="none" w:sz="0" w:space="0" w:color="auto"/>
        <w:right w:val="none" w:sz="0" w:space="0" w:color="auto"/>
      </w:divBdr>
    </w:div>
    <w:div w:id="322204811">
      <w:bodyDiv w:val="1"/>
      <w:marLeft w:val="0"/>
      <w:marRight w:val="0"/>
      <w:marTop w:val="0"/>
      <w:marBottom w:val="0"/>
      <w:divBdr>
        <w:top w:val="none" w:sz="0" w:space="0" w:color="auto"/>
        <w:left w:val="none" w:sz="0" w:space="0" w:color="auto"/>
        <w:bottom w:val="none" w:sz="0" w:space="0" w:color="auto"/>
        <w:right w:val="none" w:sz="0" w:space="0" w:color="auto"/>
      </w:divBdr>
    </w:div>
    <w:div w:id="339550289">
      <w:bodyDiv w:val="1"/>
      <w:marLeft w:val="0"/>
      <w:marRight w:val="0"/>
      <w:marTop w:val="0"/>
      <w:marBottom w:val="0"/>
      <w:divBdr>
        <w:top w:val="none" w:sz="0" w:space="0" w:color="auto"/>
        <w:left w:val="none" w:sz="0" w:space="0" w:color="auto"/>
        <w:bottom w:val="none" w:sz="0" w:space="0" w:color="auto"/>
        <w:right w:val="none" w:sz="0" w:space="0" w:color="auto"/>
      </w:divBdr>
    </w:div>
    <w:div w:id="346292423">
      <w:bodyDiv w:val="1"/>
      <w:marLeft w:val="0"/>
      <w:marRight w:val="0"/>
      <w:marTop w:val="0"/>
      <w:marBottom w:val="0"/>
      <w:divBdr>
        <w:top w:val="none" w:sz="0" w:space="0" w:color="auto"/>
        <w:left w:val="none" w:sz="0" w:space="0" w:color="auto"/>
        <w:bottom w:val="none" w:sz="0" w:space="0" w:color="auto"/>
        <w:right w:val="none" w:sz="0" w:space="0" w:color="auto"/>
      </w:divBdr>
    </w:div>
    <w:div w:id="346521173">
      <w:bodyDiv w:val="1"/>
      <w:marLeft w:val="0"/>
      <w:marRight w:val="0"/>
      <w:marTop w:val="0"/>
      <w:marBottom w:val="0"/>
      <w:divBdr>
        <w:top w:val="none" w:sz="0" w:space="0" w:color="auto"/>
        <w:left w:val="none" w:sz="0" w:space="0" w:color="auto"/>
        <w:bottom w:val="none" w:sz="0" w:space="0" w:color="auto"/>
        <w:right w:val="none" w:sz="0" w:space="0" w:color="auto"/>
      </w:divBdr>
    </w:div>
    <w:div w:id="355741481">
      <w:bodyDiv w:val="1"/>
      <w:marLeft w:val="0"/>
      <w:marRight w:val="0"/>
      <w:marTop w:val="0"/>
      <w:marBottom w:val="0"/>
      <w:divBdr>
        <w:top w:val="none" w:sz="0" w:space="0" w:color="auto"/>
        <w:left w:val="none" w:sz="0" w:space="0" w:color="auto"/>
        <w:bottom w:val="none" w:sz="0" w:space="0" w:color="auto"/>
        <w:right w:val="none" w:sz="0" w:space="0" w:color="auto"/>
      </w:divBdr>
    </w:div>
    <w:div w:id="367265300">
      <w:bodyDiv w:val="1"/>
      <w:marLeft w:val="0"/>
      <w:marRight w:val="0"/>
      <w:marTop w:val="0"/>
      <w:marBottom w:val="0"/>
      <w:divBdr>
        <w:top w:val="none" w:sz="0" w:space="0" w:color="auto"/>
        <w:left w:val="none" w:sz="0" w:space="0" w:color="auto"/>
        <w:bottom w:val="none" w:sz="0" w:space="0" w:color="auto"/>
        <w:right w:val="none" w:sz="0" w:space="0" w:color="auto"/>
      </w:divBdr>
    </w:div>
    <w:div w:id="383136949">
      <w:bodyDiv w:val="1"/>
      <w:marLeft w:val="0"/>
      <w:marRight w:val="0"/>
      <w:marTop w:val="0"/>
      <w:marBottom w:val="0"/>
      <w:divBdr>
        <w:top w:val="none" w:sz="0" w:space="0" w:color="auto"/>
        <w:left w:val="none" w:sz="0" w:space="0" w:color="auto"/>
        <w:bottom w:val="none" w:sz="0" w:space="0" w:color="auto"/>
        <w:right w:val="none" w:sz="0" w:space="0" w:color="auto"/>
      </w:divBdr>
    </w:div>
    <w:div w:id="386337688">
      <w:bodyDiv w:val="1"/>
      <w:marLeft w:val="0"/>
      <w:marRight w:val="0"/>
      <w:marTop w:val="0"/>
      <w:marBottom w:val="0"/>
      <w:divBdr>
        <w:top w:val="none" w:sz="0" w:space="0" w:color="auto"/>
        <w:left w:val="none" w:sz="0" w:space="0" w:color="auto"/>
        <w:bottom w:val="none" w:sz="0" w:space="0" w:color="auto"/>
        <w:right w:val="none" w:sz="0" w:space="0" w:color="auto"/>
      </w:divBdr>
    </w:div>
    <w:div w:id="405421308">
      <w:bodyDiv w:val="1"/>
      <w:marLeft w:val="0"/>
      <w:marRight w:val="0"/>
      <w:marTop w:val="0"/>
      <w:marBottom w:val="0"/>
      <w:divBdr>
        <w:top w:val="none" w:sz="0" w:space="0" w:color="auto"/>
        <w:left w:val="none" w:sz="0" w:space="0" w:color="auto"/>
        <w:bottom w:val="none" w:sz="0" w:space="0" w:color="auto"/>
        <w:right w:val="none" w:sz="0" w:space="0" w:color="auto"/>
      </w:divBdr>
    </w:div>
    <w:div w:id="408423369">
      <w:bodyDiv w:val="1"/>
      <w:marLeft w:val="0"/>
      <w:marRight w:val="0"/>
      <w:marTop w:val="0"/>
      <w:marBottom w:val="0"/>
      <w:divBdr>
        <w:top w:val="none" w:sz="0" w:space="0" w:color="auto"/>
        <w:left w:val="none" w:sz="0" w:space="0" w:color="auto"/>
        <w:bottom w:val="none" w:sz="0" w:space="0" w:color="auto"/>
        <w:right w:val="none" w:sz="0" w:space="0" w:color="auto"/>
      </w:divBdr>
    </w:div>
    <w:div w:id="418869908">
      <w:bodyDiv w:val="1"/>
      <w:marLeft w:val="0"/>
      <w:marRight w:val="0"/>
      <w:marTop w:val="0"/>
      <w:marBottom w:val="0"/>
      <w:divBdr>
        <w:top w:val="none" w:sz="0" w:space="0" w:color="auto"/>
        <w:left w:val="none" w:sz="0" w:space="0" w:color="auto"/>
        <w:bottom w:val="none" w:sz="0" w:space="0" w:color="auto"/>
        <w:right w:val="none" w:sz="0" w:space="0" w:color="auto"/>
      </w:divBdr>
    </w:div>
    <w:div w:id="449053145">
      <w:bodyDiv w:val="1"/>
      <w:marLeft w:val="0"/>
      <w:marRight w:val="0"/>
      <w:marTop w:val="0"/>
      <w:marBottom w:val="0"/>
      <w:divBdr>
        <w:top w:val="none" w:sz="0" w:space="0" w:color="auto"/>
        <w:left w:val="none" w:sz="0" w:space="0" w:color="auto"/>
        <w:bottom w:val="none" w:sz="0" w:space="0" w:color="auto"/>
        <w:right w:val="none" w:sz="0" w:space="0" w:color="auto"/>
      </w:divBdr>
    </w:div>
    <w:div w:id="458109903">
      <w:bodyDiv w:val="1"/>
      <w:marLeft w:val="0"/>
      <w:marRight w:val="0"/>
      <w:marTop w:val="0"/>
      <w:marBottom w:val="0"/>
      <w:divBdr>
        <w:top w:val="none" w:sz="0" w:space="0" w:color="auto"/>
        <w:left w:val="none" w:sz="0" w:space="0" w:color="auto"/>
        <w:bottom w:val="none" w:sz="0" w:space="0" w:color="auto"/>
        <w:right w:val="none" w:sz="0" w:space="0" w:color="auto"/>
      </w:divBdr>
    </w:div>
    <w:div w:id="470247081">
      <w:bodyDiv w:val="1"/>
      <w:marLeft w:val="0"/>
      <w:marRight w:val="0"/>
      <w:marTop w:val="0"/>
      <w:marBottom w:val="0"/>
      <w:divBdr>
        <w:top w:val="none" w:sz="0" w:space="0" w:color="auto"/>
        <w:left w:val="none" w:sz="0" w:space="0" w:color="auto"/>
        <w:bottom w:val="none" w:sz="0" w:space="0" w:color="auto"/>
        <w:right w:val="none" w:sz="0" w:space="0" w:color="auto"/>
      </w:divBdr>
    </w:div>
    <w:div w:id="476920150">
      <w:bodyDiv w:val="1"/>
      <w:marLeft w:val="0"/>
      <w:marRight w:val="0"/>
      <w:marTop w:val="0"/>
      <w:marBottom w:val="0"/>
      <w:divBdr>
        <w:top w:val="none" w:sz="0" w:space="0" w:color="auto"/>
        <w:left w:val="none" w:sz="0" w:space="0" w:color="auto"/>
        <w:bottom w:val="none" w:sz="0" w:space="0" w:color="auto"/>
        <w:right w:val="none" w:sz="0" w:space="0" w:color="auto"/>
      </w:divBdr>
    </w:div>
    <w:div w:id="477380660">
      <w:bodyDiv w:val="1"/>
      <w:marLeft w:val="0"/>
      <w:marRight w:val="0"/>
      <w:marTop w:val="0"/>
      <w:marBottom w:val="0"/>
      <w:divBdr>
        <w:top w:val="none" w:sz="0" w:space="0" w:color="auto"/>
        <w:left w:val="none" w:sz="0" w:space="0" w:color="auto"/>
        <w:bottom w:val="none" w:sz="0" w:space="0" w:color="auto"/>
        <w:right w:val="none" w:sz="0" w:space="0" w:color="auto"/>
      </w:divBdr>
    </w:div>
    <w:div w:id="488987322">
      <w:bodyDiv w:val="1"/>
      <w:marLeft w:val="0"/>
      <w:marRight w:val="0"/>
      <w:marTop w:val="0"/>
      <w:marBottom w:val="0"/>
      <w:divBdr>
        <w:top w:val="none" w:sz="0" w:space="0" w:color="auto"/>
        <w:left w:val="none" w:sz="0" w:space="0" w:color="auto"/>
        <w:bottom w:val="none" w:sz="0" w:space="0" w:color="auto"/>
        <w:right w:val="none" w:sz="0" w:space="0" w:color="auto"/>
      </w:divBdr>
    </w:div>
    <w:div w:id="489515910">
      <w:bodyDiv w:val="1"/>
      <w:marLeft w:val="0"/>
      <w:marRight w:val="0"/>
      <w:marTop w:val="0"/>
      <w:marBottom w:val="0"/>
      <w:divBdr>
        <w:top w:val="none" w:sz="0" w:space="0" w:color="auto"/>
        <w:left w:val="none" w:sz="0" w:space="0" w:color="auto"/>
        <w:bottom w:val="none" w:sz="0" w:space="0" w:color="auto"/>
        <w:right w:val="none" w:sz="0" w:space="0" w:color="auto"/>
      </w:divBdr>
    </w:div>
    <w:div w:id="491988849">
      <w:bodyDiv w:val="1"/>
      <w:marLeft w:val="0"/>
      <w:marRight w:val="0"/>
      <w:marTop w:val="0"/>
      <w:marBottom w:val="0"/>
      <w:divBdr>
        <w:top w:val="none" w:sz="0" w:space="0" w:color="auto"/>
        <w:left w:val="none" w:sz="0" w:space="0" w:color="auto"/>
        <w:bottom w:val="none" w:sz="0" w:space="0" w:color="auto"/>
        <w:right w:val="none" w:sz="0" w:space="0" w:color="auto"/>
      </w:divBdr>
    </w:div>
    <w:div w:id="497229471">
      <w:bodyDiv w:val="1"/>
      <w:marLeft w:val="0"/>
      <w:marRight w:val="0"/>
      <w:marTop w:val="0"/>
      <w:marBottom w:val="0"/>
      <w:divBdr>
        <w:top w:val="none" w:sz="0" w:space="0" w:color="auto"/>
        <w:left w:val="none" w:sz="0" w:space="0" w:color="auto"/>
        <w:bottom w:val="none" w:sz="0" w:space="0" w:color="auto"/>
        <w:right w:val="none" w:sz="0" w:space="0" w:color="auto"/>
      </w:divBdr>
    </w:div>
    <w:div w:id="507988677">
      <w:bodyDiv w:val="1"/>
      <w:marLeft w:val="0"/>
      <w:marRight w:val="0"/>
      <w:marTop w:val="0"/>
      <w:marBottom w:val="0"/>
      <w:divBdr>
        <w:top w:val="none" w:sz="0" w:space="0" w:color="auto"/>
        <w:left w:val="none" w:sz="0" w:space="0" w:color="auto"/>
        <w:bottom w:val="none" w:sz="0" w:space="0" w:color="auto"/>
        <w:right w:val="none" w:sz="0" w:space="0" w:color="auto"/>
      </w:divBdr>
    </w:div>
    <w:div w:id="512260325">
      <w:bodyDiv w:val="1"/>
      <w:marLeft w:val="0"/>
      <w:marRight w:val="0"/>
      <w:marTop w:val="0"/>
      <w:marBottom w:val="0"/>
      <w:divBdr>
        <w:top w:val="none" w:sz="0" w:space="0" w:color="auto"/>
        <w:left w:val="none" w:sz="0" w:space="0" w:color="auto"/>
        <w:bottom w:val="none" w:sz="0" w:space="0" w:color="auto"/>
        <w:right w:val="none" w:sz="0" w:space="0" w:color="auto"/>
      </w:divBdr>
    </w:div>
    <w:div w:id="526604726">
      <w:bodyDiv w:val="1"/>
      <w:marLeft w:val="0"/>
      <w:marRight w:val="0"/>
      <w:marTop w:val="0"/>
      <w:marBottom w:val="0"/>
      <w:divBdr>
        <w:top w:val="none" w:sz="0" w:space="0" w:color="auto"/>
        <w:left w:val="none" w:sz="0" w:space="0" w:color="auto"/>
        <w:bottom w:val="none" w:sz="0" w:space="0" w:color="auto"/>
        <w:right w:val="none" w:sz="0" w:space="0" w:color="auto"/>
      </w:divBdr>
    </w:div>
    <w:div w:id="537013546">
      <w:bodyDiv w:val="1"/>
      <w:marLeft w:val="0"/>
      <w:marRight w:val="0"/>
      <w:marTop w:val="0"/>
      <w:marBottom w:val="0"/>
      <w:divBdr>
        <w:top w:val="none" w:sz="0" w:space="0" w:color="auto"/>
        <w:left w:val="none" w:sz="0" w:space="0" w:color="auto"/>
        <w:bottom w:val="none" w:sz="0" w:space="0" w:color="auto"/>
        <w:right w:val="none" w:sz="0" w:space="0" w:color="auto"/>
      </w:divBdr>
    </w:div>
    <w:div w:id="541093000">
      <w:bodyDiv w:val="1"/>
      <w:marLeft w:val="0"/>
      <w:marRight w:val="0"/>
      <w:marTop w:val="0"/>
      <w:marBottom w:val="0"/>
      <w:divBdr>
        <w:top w:val="none" w:sz="0" w:space="0" w:color="auto"/>
        <w:left w:val="none" w:sz="0" w:space="0" w:color="auto"/>
        <w:bottom w:val="none" w:sz="0" w:space="0" w:color="auto"/>
        <w:right w:val="none" w:sz="0" w:space="0" w:color="auto"/>
      </w:divBdr>
    </w:div>
    <w:div w:id="541552265">
      <w:bodyDiv w:val="1"/>
      <w:marLeft w:val="0"/>
      <w:marRight w:val="0"/>
      <w:marTop w:val="0"/>
      <w:marBottom w:val="0"/>
      <w:divBdr>
        <w:top w:val="none" w:sz="0" w:space="0" w:color="auto"/>
        <w:left w:val="none" w:sz="0" w:space="0" w:color="auto"/>
        <w:bottom w:val="none" w:sz="0" w:space="0" w:color="auto"/>
        <w:right w:val="none" w:sz="0" w:space="0" w:color="auto"/>
      </w:divBdr>
    </w:div>
    <w:div w:id="558129535">
      <w:bodyDiv w:val="1"/>
      <w:marLeft w:val="0"/>
      <w:marRight w:val="0"/>
      <w:marTop w:val="0"/>
      <w:marBottom w:val="0"/>
      <w:divBdr>
        <w:top w:val="none" w:sz="0" w:space="0" w:color="auto"/>
        <w:left w:val="none" w:sz="0" w:space="0" w:color="auto"/>
        <w:bottom w:val="none" w:sz="0" w:space="0" w:color="auto"/>
        <w:right w:val="none" w:sz="0" w:space="0" w:color="auto"/>
      </w:divBdr>
      <w:divsChild>
        <w:div w:id="58018495">
          <w:marLeft w:val="0"/>
          <w:marRight w:val="0"/>
          <w:marTop w:val="0"/>
          <w:marBottom w:val="0"/>
          <w:divBdr>
            <w:top w:val="none" w:sz="0" w:space="0" w:color="auto"/>
            <w:left w:val="none" w:sz="0" w:space="0" w:color="auto"/>
            <w:bottom w:val="none" w:sz="0" w:space="0" w:color="auto"/>
            <w:right w:val="none" w:sz="0" w:space="0" w:color="auto"/>
          </w:divBdr>
        </w:div>
      </w:divsChild>
    </w:div>
    <w:div w:id="596595631">
      <w:bodyDiv w:val="1"/>
      <w:marLeft w:val="0"/>
      <w:marRight w:val="0"/>
      <w:marTop w:val="0"/>
      <w:marBottom w:val="0"/>
      <w:divBdr>
        <w:top w:val="none" w:sz="0" w:space="0" w:color="auto"/>
        <w:left w:val="none" w:sz="0" w:space="0" w:color="auto"/>
        <w:bottom w:val="none" w:sz="0" w:space="0" w:color="auto"/>
        <w:right w:val="none" w:sz="0" w:space="0" w:color="auto"/>
      </w:divBdr>
    </w:div>
    <w:div w:id="613289114">
      <w:bodyDiv w:val="1"/>
      <w:marLeft w:val="0"/>
      <w:marRight w:val="0"/>
      <w:marTop w:val="0"/>
      <w:marBottom w:val="0"/>
      <w:divBdr>
        <w:top w:val="none" w:sz="0" w:space="0" w:color="auto"/>
        <w:left w:val="none" w:sz="0" w:space="0" w:color="auto"/>
        <w:bottom w:val="none" w:sz="0" w:space="0" w:color="auto"/>
        <w:right w:val="none" w:sz="0" w:space="0" w:color="auto"/>
      </w:divBdr>
    </w:div>
    <w:div w:id="675771767">
      <w:bodyDiv w:val="1"/>
      <w:marLeft w:val="0"/>
      <w:marRight w:val="0"/>
      <w:marTop w:val="0"/>
      <w:marBottom w:val="0"/>
      <w:divBdr>
        <w:top w:val="none" w:sz="0" w:space="0" w:color="auto"/>
        <w:left w:val="none" w:sz="0" w:space="0" w:color="auto"/>
        <w:bottom w:val="none" w:sz="0" w:space="0" w:color="auto"/>
        <w:right w:val="none" w:sz="0" w:space="0" w:color="auto"/>
      </w:divBdr>
    </w:div>
    <w:div w:id="705255358">
      <w:bodyDiv w:val="1"/>
      <w:marLeft w:val="0"/>
      <w:marRight w:val="0"/>
      <w:marTop w:val="0"/>
      <w:marBottom w:val="0"/>
      <w:divBdr>
        <w:top w:val="none" w:sz="0" w:space="0" w:color="auto"/>
        <w:left w:val="none" w:sz="0" w:space="0" w:color="auto"/>
        <w:bottom w:val="none" w:sz="0" w:space="0" w:color="auto"/>
        <w:right w:val="none" w:sz="0" w:space="0" w:color="auto"/>
      </w:divBdr>
    </w:div>
    <w:div w:id="717245863">
      <w:bodyDiv w:val="1"/>
      <w:marLeft w:val="0"/>
      <w:marRight w:val="0"/>
      <w:marTop w:val="0"/>
      <w:marBottom w:val="0"/>
      <w:divBdr>
        <w:top w:val="none" w:sz="0" w:space="0" w:color="auto"/>
        <w:left w:val="none" w:sz="0" w:space="0" w:color="auto"/>
        <w:bottom w:val="none" w:sz="0" w:space="0" w:color="auto"/>
        <w:right w:val="none" w:sz="0" w:space="0" w:color="auto"/>
      </w:divBdr>
    </w:div>
    <w:div w:id="720137444">
      <w:bodyDiv w:val="1"/>
      <w:marLeft w:val="0"/>
      <w:marRight w:val="0"/>
      <w:marTop w:val="0"/>
      <w:marBottom w:val="0"/>
      <w:divBdr>
        <w:top w:val="none" w:sz="0" w:space="0" w:color="auto"/>
        <w:left w:val="none" w:sz="0" w:space="0" w:color="auto"/>
        <w:bottom w:val="none" w:sz="0" w:space="0" w:color="auto"/>
        <w:right w:val="none" w:sz="0" w:space="0" w:color="auto"/>
      </w:divBdr>
    </w:div>
    <w:div w:id="724332444">
      <w:bodyDiv w:val="1"/>
      <w:marLeft w:val="0"/>
      <w:marRight w:val="0"/>
      <w:marTop w:val="0"/>
      <w:marBottom w:val="0"/>
      <w:divBdr>
        <w:top w:val="none" w:sz="0" w:space="0" w:color="auto"/>
        <w:left w:val="none" w:sz="0" w:space="0" w:color="auto"/>
        <w:bottom w:val="none" w:sz="0" w:space="0" w:color="auto"/>
        <w:right w:val="none" w:sz="0" w:space="0" w:color="auto"/>
      </w:divBdr>
    </w:div>
    <w:div w:id="728262531">
      <w:bodyDiv w:val="1"/>
      <w:marLeft w:val="0"/>
      <w:marRight w:val="0"/>
      <w:marTop w:val="0"/>
      <w:marBottom w:val="0"/>
      <w:divBdr>
        <w:top w:val="none" w:sz="0" w:space="0" w:color="auto"/>
        <w:left w:val="none" w:sz="0" w:space="0" w:color="auto"/>
        <w:bottom w:val="none" w:sz="0" w:space="0" w:color="auto"/>
        <w:right w:val="none" w:sz="0" w:space="0" w:color="auto"/>
      </w:divBdr>
    </w:div>
    <w:div w:id="731344592">
      <w:bodyDiv w:val="1"/>
      <w:marLeft w:val="0"/>
      <w:marRight w:val="0"/>
      <w:marTop w:val="0"/>
      <w:marBottom w:val="0"/>
      <w:divBdr>
        <w:top w:val="none" w:sz="0" w:space="0" w:color="auto"/>
        <w:left w:val="none" w:sz="0" w:space="0" w:color="auto"/>
        <w:bottom w:val="none" w:sz="0" w:space="0" w:color="auto"/>
        <w:right w:val="none" w:sz="0" w:space="0" w:color="auto"/>
      </w:divBdr>
    </w:div>
    <w:div w:id="739328417">
      <w:bodyDiv w:val="1"/>
      <w:marLeft w:val="0"/>
      <w:marRight w:val="0"/>
      <w:marTop w:val="0"/>
      <w:marBottom w:val="0"/>
      <w:divBdr>
        <w:top w:val="none" w:sz="0" w:space="0" w:color="auto"/>
        <w:left w:val="none" w:sz="0" w:space="0" w:color="auto"/>
        <w:bottom w:val="none" w:sz="0" w:space="0" w:color="auto"/>
        <w:right w:val="none" w:sz="0" w:space="0" w:color="auto"/>
      </w:divBdr>
    </w:div>
    <w:div w:id="743575858">
      <w:bodyDiv w:val="1"/>
      <w:marLeft w:val="0"/>
      <w:marRight w:val="0"/>
      <w:marTop w:val="0"/>
      <w:marBottom w:val="0"/>
      <w:divBdr>
        <w:top w:val="none" w:sz="0" w:space="0" w:color="auto"/>
        <w:left w:val="none" w:sz="0" w:space="0" w:color="auto"/>
        <w:bottom w:val="none" w:sz="0" w:space="0" w:color="auto"/>
        <w:right w:val="none" w:sz="0" w:space="0" w:color="auto"/>
      </w:divBdr>
    </w:div>
    <w:div w:id="762262050">
      <w:bodyDiv w:val="1"/>
      <w:marLeft w:val="0"/>
      <w:marRight w:val="0"/>
      <w:marTop w:val="0"/>
      <w:marBottom w:val="0"/>
      <w:divBdr>
        <w:top w:val="none" w:sz="0" w:space="0" w:color="auto"/>
        <w:left w:val="none" w:sz="0" w:space="0" w:color="auto"/>
        <w:bottom w:val="none" w:sz="0" w:space="0" w:color="auto"/>
        <w:right w:val="none" w:sz="0" w:space="0" w:color="auto"/>
      </w:divBdr>
    </w:div>
    <w:div w:id="848106361">
      <w:bodyDiv w:val="1"/>
      <w:marLeft w:val="0"/>
      <w:marRight w:val="0"/>
      <w:marTop w:val="0"/>
      <w:marBottom w:val="0"/>
      <w:divBdr>
        <w:top w:val="none" w:sz="0" w:space="0" w:color="auto"/>
        <w:left w:val="none" w:sz="0" w:space="0" w:color="auto"/>
        <w:bottom w:val="none" w:sz="0" w:space="0" w:color="auto"/>
        <w:right w:val="none" w:sz="0" w:space="0" w:color="auto"/>
      </w:divBdr>
    </w:div>
    <w:div w:id="856699621">
      <w:bodyDiv w:val="1"/>
      <w:marLeft w:val="0"/>
      <w:marRight w:val="0"/>
      <w:marTop w:val="0"/>
      <w:marBottom w:val="0"/>
      <w:divBdr>
        <w:top w:val="none" w:sz="0" w:space="0" w:color="auto"/>
        <w:left w:val="none" w:sz="0" w:space="0" w:color="auto"/>
        <w:bottom w:val="none" w:sz="0" w:space="0" w:color="auto"/>
        <w:right w:val="none" w:sz="0" w:space="0" w:color="auto"/>
      </w:divBdr>
    </w:div>
    <w:div w:id="880020261">
      <w:bodyDiv w:val="1"/>
      <w:marLeft w:val="0"/>
      <w:marRight w:val="0"/>
      <w:marTop w:val="0"/>
      <w:marBottom w:val="0"/>
      <w:divBdr>
        <w:top w:val="none" w:sz="0" w:space="0" w:color="auto"/>
        <w:left w:val="none" w:sz="0" w:space="0" w:color="auto"/>
        <w:bottom w:val="none" w:sz="0" w:space="0" w:color="auto"/>
        <w:right w:val="none" w:sz="0" w:space="0" w:color="auto"/>
      </w:divBdr>
    </w:div>
    <w:div w:id="902909121">
      <w:bodyDiv w:val="1"/>
      <w:marLeft w:val="0"/>
      <w:marRight w:val="0"/>
      <w:marTop w:val="0"/>
      <w:marBottom w:val="0"/>
      <w:divBdr>
        <w:top w:val="none" w:sz="0" w:space="0" w:color="auto"/>
        <w:left w:val="none" w:sz="0" w:space="0" w:color="auto"/>
        <w:bottom w:val="none" w:sz="0" w:space="0" w:color="auto"/>
        <w:right w:val="none" w:sz="0" w:space="0" w:color="auto"/>
      </w:divBdr>
    </w:div>
    <w:div w:id="909081216">
      <w:bodyDiv w:val="1"/>
      <w:marLeft w:val="0"/>
      <w:marRight w:val="0"/>
      <w:marTop w:val="0"/>
      <w:marBottom w:val="0"/>
      <w:divBdr>
        <w:top w:val="none" w:sz="0" w:space="0" w:color="auto"/>
        <w:left w:val="none" w:sz="0" w:space="0" w:color="auto"/>
        <w:bottom w:val="none" w:sz="0" w:space="0" w:color="auto"/>
        <w:right w:val="none" w:sz="0" w:space="0" w:color="auto"/>
      </w:divBdr>
    </w:div>
    <w:div w:id="911349761">
      <w:bodyDiv w:val="1"/>
      <w:marLeft w:val="0"/>
      <w:marRight w:val="0"/>
      <w:marTop w:val="0"/>
      <w:marBottom w:val="0"/>
      <w:divBdr>
        <w:top w:val="none" w:sz="0" w:space="0" w:color="auto"/>
        <w:left w:val="none" w:sz="0" w:space="0" w:color="auto"/>
        <w:bottom w:val="none" w:sz="0" w:space="0" w:color="auto"/>
        <w:right w:val="none" w:sz="0" w:space="0" w:color="auto"/>
      </w:divBdr>
    </w:div>
    <w:div w:id="913125947">
      <w:bodyDiv w:val="1"/>
      <w:marLeft w:val="0"/>
      <w:marRight w:val="0"/>
      <w:marTop w:val="0"/>
      <w:marBottom w:val="0"/>
      <w:divBdr>
        <w:top w:val="none" w:sz="0" w:space="0" w:color="auto"/>
        <w:left w:val="none" w:sz="0" w:space="0" w:color="auto"/>
        <w:bottom w:val="none" w:sz="0" w:space="0" w:color="auto"/>
        <w:right w:val="none" w:sz="0" w:space="0" w:color="auto"/>
      </w:divBdr>
    </w:div>
    <w:div w:id="920136154">
      <w:bodyDiv w:val="1"/>
      <w:marLeft w:val="0"/>
      <w:marRight w:val="0"/>
      <w:marTop w:val="0"/>
      <w:marBottom w:val="0"/>
      <w:divBdr>
        <w:top w:val="none" w:sz="0" w:space="0" w:color="auto"/>
        <w:left w:val="none" w:sz="0" w:space="0" w:color="auto"/>
        <w:bottom w:val="none" w:sz="0" w:space="0" w:color="auto"/>
        <w:right w:val="none" w:sz="0" w:space="0" w:color="auto"/>
      </w:divBdr>
    </w:div>
    <w:div w:id="923804481">
      <w:bodyDiv w:val="1"/>
      <w:marLeft w:val="0"/>
      <w:marRight w:val="0"/>
      <w:marTop w:val="0"/>
      <w:marBottom w:val="0"/>
      <w:divBdr>
        <w:top w:val="none" w:sz="0" w:space="0" w:color="auto"/>
        <w:left w:val="none" w:sz="0" w:space="0" w:color="auto"/>
        <w:bottom w:val="none" w:sz="0" w:space="0" w:color="auto"/>
        <w:right w:val="none" w:sz="0" w:space="0" w:color="auto"/>
      </w:divBdr>
    </w:div>
    <w:div w:id="978800002">
      <w:bodyDiv w:val="1"/>
      <w:marLeft w:val="0"/>
      <w:marRight w:val="0"/>
      <w:marTop w:val="0"/>
      <w:marBottom w:val="0"/>
      <w:divBdr>
        <w:top w:val="none" w:sz="0" w:space="0" w:color="auto"/>
        <w:left w:val="none" w:sz="0" w:space="0" w:color="auto"/>
        <w:bottom w:val="none" w:sz="0" w:space="0" w:color="auto"/>
        <w:right w:val="none" w:sz="0" w:space="0" w:color="auto"/>
      </w:divBdr>
    </w:div>
    <w:div w:id="999193398">
      <w:bodyDiv w:val="1"/>
      <w:marLeft w:val="0"/>
      <w:marRight w:val="0"/>
      <w:marTop w:val="0"/>
      <w:marBottom w:val="0"/>
      <w:divBdr>
        <w:top w:val="none" w:sz="0" w:space="0" w:color="auto"/>
        <w:left w:val="none" w:sz="0" w:space="0" w:color="auto"/>
        <w:bottom w:val="none" w:sz="0" w:space="0" w:color="auto"/>
        <w:right w:val="none" w:sz="0" w:space="0" w:color="auto"/>
      </w:divBdr>
      <w:divsChild>
        <w:div w:id="2061711752">
          <w:marLeft w:val="0"/>
          <w:marRight w:val="0"/>
          <w:marTop w:val="0"/>
          <w:marBottom w:val="0"/>
          <w:divBdr>
            <w:top w:val="none" w:sz="0" w:space="0" w:color="auto"/>
            <w:left w:val="none" w:sz="0" w:space="0" w:color="auto"/>
            <w:bottom w:val="none" w:sz="0" w:space="0" w:color="auto"/>
            <w:right w:val="none" w:sz="0" w:space="0" w:color="auto"/>
          </w:divBdr>
        </w:div>
      </w:divsChild>
    </w:div>
    <w:div w:id="1014307228">
      <w:bodyDiv w:val="1"/>
      <w:marLeft w:val="0"/>
      <w:marRight w:val="0"/>
      <w:marTop w:val="0"/>
      <w:marBottom w:val="0"/>
      <w:divBdr>
        <w:top w:val="none" w:sz="0" w:space="0" w:color="auto"/>
        <w:left w:val="none" w:sz="0" w:space="0" w:color="auto"/>
        <w:bottom w:val="none" w:sz="0" w:space="0" w:color="auto"/>
        <w:right w:val="none" w:sz="0" w:space="0" w:color="auto"/>
      </w:divBdr>
    </w:div>
    <w:div w:id="1028333045">
      <w:bodyDiv w:val="1"/>
      <w:marLeft w:val="0"/>
      <w:marRight w:val="0"/>
      <w:marTop w:val="0"/>
      <w:marBottom w:val="0"/>
      <w:divBdr>
        <w:top w:val="none" w:sz="0" w:space="0" w:color="auto"/>
        <w:left w:val="none" w:sz="0" w:space="0" w:color="auto"/>
        <w:bottom w:val="none" w:sz="0" w:space="0" w:color="auto"/>
        <w:right w:val="none" w:sz="0" w:space="0" w:color="auto"/>
      </w:divBdr>
    </w:div>
    <w:div w:id="1058091141">
      <w:bodyDiv w:val="1"/>
      <w:marLeft w:val="0"/>
      <w:marRight w:val="0"/>
      <w:marTop w:val="0"/>
      <w:marBottom w:val="0"/>
      <w:divBdr>
        <w:top w:val="none" w:sz="0" w:space="0" w:color="auto"/>
        <w:left w:val="none" w:sz="0" w:space="0" w:color="auto"/>
        <w:bottom w:val="none" w:sz="0" w:space="0" w:color="auto"/>
        <w:right w:val="none" w:sz="0" w:space="0" w:color="auto"/>
      </w:divBdr>
    </w:div>
    <w:div w:id="1063260314">
      <w:bodyDiv w:val="1"/>
      <w:marLeft w:val="0"/>
      <w:marRight w:val="0"/>
      <w:marTop w:val="0"/>
      <w:marBottom w:val="0"/>
      <w:divBdr>
        <w:top w:val="none" w:sz="0" w:space="0" w:color="auto"/>
        <w:left w:val="none" w:sz="0" w:space="0" w:color="auto"/>
        <w:bottom w:val="none" w:sz="0" w:space="0" w:color="auto"/>
        <w:right w:val="none" w:sz="0" w:space="0" w:color="auto"/>
      </w:divBdr>
    </w:div>
    <w:div w:id="1079517328">
      <w:bodyDiv w:val="1"/>
      <w:marLeft w:val="0"/>
      <w:marRight w:val="0"/>
      <w:marTop w:val="0"/>
      <w:marBottom w:val="0"/>
      <w:divBdr>
        <w:top w:val="none" w:sz="0" w:space="0" w:color="auto"/>
        <w:left w:val="none" w:sz="0" w:space="0" w:color="auto"/>
        <w:bottom w:val="none" w:sz="0" w:space="0" w:color="auto"/>
        <w:right w:val="none" w:sz="0" w:space="0" w:color="auto"/>
      </w:divBdr>
    </w:div>
    <w:div w:id="1099717085">
      <w:bodyDiv w:val="1"/>
      <w:marLeft w:val="0"/>
      <w:marRight w:val="0"/>
      <w:marTop w:val="0"/>
      <w:marBottom w:val="0"/>
      <w:divBdr>
        <w:top w:val="none" w:sz="0" w:space="0" w:color="auto"/>
        <w:left w:val="none" w:sz="0" w:space="0" w:color="auto"/>
        <w:bottom w:val="none" w:sz="0" w:space="0" w:color="auto"/>
        <w:right w:val="none" w:sz="0" w:space="0" w:color="auto"/>
      </w:divBdr>
    </w:div>
    <w:div w:id="1104959826">
      <w:bodyDiv w:val="1"/>
      <w:marLeft w:val="0"/>
      <w:marRight w:val="0"/>
      <w:marTop w:val="0"/>
      <w:marBottom w:val="0"/>
      <w:divBdr>
        <w:top w:val="none" w:sz="0" w:space="0" w:color="auto"/>
        <w:left w:val="none" w:sz="0" w:space="0" w:color="auto"/>
        <w:bottom w:val="none" w:sz="0" w:space="0" w:color="auto"/>
        <w:right w:val="none" w:sz="0" w:space="0" w:color="auto"/>
      </w:divBdr>
    </w:div>
    <w:div w:id="1147892447">
      <w:bodyDiv w:val="1"/>
      <w:marLeft w:val="0"/>
      <w:marRight w:val="0"/>
      <w:marTop w:val="0"/>
      <w:marBottom w:val="0"/>
      <w:divBdr>
        <w:top w:val="none" w:sz="0" w:space="0" w:color="auto"/>
        <w:left w:val="none" w:sz="0" w:space="0" w:color="auto"/>
        <w:bottom w:val="none" w:sz="0" w:space="0" w:color="auto"/>
        <w:right w:val="none" w:sz="0" w:space="0" w:color="auto"/>
      </w:divBdr>
    </w:div>
    <w:div w:id="1150248942">
      <w:bodyDiv w:val="1"/>
      <w:marLeft w:val="0"/>
      <w:marRight w:val="0"/>
      <w:marTop w:val="0"/>
      <w:marBottom w:val="0"/>
      <w:divBdr>
        <w:top w:val="none" w:sz="0" w:space="0" w:color="auto"/>
        <w:left w:val="none" w:sz="0" w:space="0" w:color="auto"/>
        <w:bottom w:val="none" w:sz="0" w:space="0" w:color="auto"/>
        <w:right w:val="none" w:sz="0" w:space="0" w:color="auto"/>
      </w:divBdr>
    </w:div>
    <w:div w:id="1162231493">
      <w:bodyDiv w:val="1"/>
      <w:marLeft w:val="0"/>
      <w:marRight w:val="0"/>
      <w:marTop w:val="0"/>
      <w:marBottom w:val="0"/>
      <w:divBdr>
        <w:top w:val="none" w:sz="0" w:space="0" w:color="auto"/>
        <w:left w:val="none" w:sz="0" w:space="0" w:color="auto"/>
        <w:bottom w:val="none" w:sz="0" w:space="0" w:color="auto"/>
        <w:right w:val="none" w:sz="0" w:space="0" w:color="auto"/>
      </w:divBdr>
    </w:div>
    <w:div w:id="1171483878">
      <w:bodyDiv w:val="1"/>
      <w:marLeft w:val="0"/>
      <w:marRight w:val="0"/>
      <w:marTop w:val="0"/>
      <w:marBottom w:val="0"/>
      <w:divBdr>
        <w:top w:val="none" w:sz="0" w:space="0" w:color="auto"/>
        <w:left w:val="none" w:sz="0" w:space="0" w:color="auto"/>
        <w:bottom w:val="none" w:sz="0" w:space="0" w:color="auto"/>
        <w:right w:val="none" w:sz="0" w:space="0" w:color="auto"/>
      </w:divBdr>
    </w:div>
    <w:div w:id="1172911773">
      <w:bodyDiv w:val="1"/>
      <w:marLeft w:val="0"/>
      <w:marRight w:val="0"/>
      <w:marTop w:val="0"/>
      <w:marBottom w:val="0"/>
      <w:divBdr>
        <w:top w:val="none" w:sz="0" w:space="0" w:color="auto"/>
        <w:left w:val="none" w:sz="0" w:space="0" w:color="auto"/>
        <w:bottom w:val="none" w:sz="0" w:space="0" w:color="auto"/>
        <w:right w:val="none" w:sz="0" w:space="0" w:color="auto"/>
      </w:divBdr>
    </w:div>
    <w:div w:id="1188368377">
      <w:bodyDiv w:val="1"/>
      <w:marLeft w:val="0"/>
      <w:marRight w:val="0"/>
      <w:marTop w:val="0"/>
      <w:marBottom w:val="0"/>
      <w:divBdr>
        <w:top w:val="none" w:sz="0" w:space="0" w:color="auto"/>
        <w:left w:val="none" w:sz="0" w:space="0" w:color="auto"/>
        <w:bottom w:val="none" w:sz="0" w:space="0" w:color="auto"/>
        <w:right w:val="none" w:sz="0" w:space="0" w:color="auto"/>
      </w:divBdr>
    </w:div>
    <w:div w:id="1250192387">
      <w:bodyDiv w:val="1"/>
      <w:marLeft w:val="0"/>
      <w:marRight w:val="0"/>
      <w:marTop w:val="0"/>
      <w:marBottom w:val="0"/>
      <w:divBdr>
        <w:top w:val="none" w:sz="0" w:space="0" w:color="auto"/>
        <w:left w:val="none" w:sz="0" w:space="0" w:color="auto"/>
        <w:bottom w:val="none" w:sz="0" w:space="0" w:color="auto"/>
        <w:right w:val="none" w:sz="0" w:space="0" w:color="auto"/>
      </w:divBdr>
    </w:div>
    <w:div w:id="1310088986">
      <w:bodyDiv w:val="1"/>
      <w:marLeft w:val="0"/>
      <w:marRight w:val="0"/>
      <w:marTop w:val="0"/>
      <w:marBottom w:val="0"/>
      <w:divBdr>
        <w:top w:val="none" w:sz="0" w:space="0" w:color="auto"/>
        <w:left w:val="none" w:sz="0" w:space="0" w:color="auto"/>
        <w:bottom w:val="none" w:sz="0" w:space="0" w:color="auto"/>
        <w:right w:val="none" w:sz="0" w:space="0" w:color="auto"/>
      </w:divBdr>
    </w:div>
    <w:div w:id="1313483073">
      <w:bodyDiv w:val="1"/>
      <w:marLeft w:val="0"/>
      <w:marRight w:val="0"/>
      <w:marTop w:val="0"/>
      <w:marBottom w:val="0"/>
      <w:divBdr>
        <w:top w:val="none" w:sz="0" w:space="0" w:color="auto"/>
        <w:left w:val="none" w:sz="0" w:space="0" w:color="auto"/>
        <w:bottom w:val="none" w:sz="0" w:space="0" w:color="auto"/>
        <w:right w:val="none" w:sz="0" w:space="0" w:color="auto"/>
      </w:divBdr>
    </w:div>
    <w:div w:id="1372880415">
      <w:bodyDiv w:val="1"/>
      <w:marLeft w:val="0"/>
      <w:marRight w:val="0"/>
      <w:marTop w:val="0"/>
      <w:marBottom w:val="0"/>
      <w:divBdr>
        <w:top w:val="none" w:sz="0" w:space="0" w:color="auto"/>
        <w:left w:val="none" w:sz="0" w:space="0" w:color="auto"/>
        <w:bottom w:val="none" w:sz="0" w:space="0" w:color="auto"/>
        <w:right w:val="none" w:sz="0" w:space="0" w:color="auto"/>
      </w:divBdr>
    </w:div>
    <w:div w:id="1386374709">
      <w:bodyDiv w:val="1"/>
      <w:marLeft w:val="0"/>
      <w:marRight w:val="0"/>
      <w:marTop w:val="0"/>
      <w:marBottom w:val="0"/>
      <w:divBdr>
        <w:top w:val="none" w:sz="0" w:space="0" w:color="auto"/>
        <w:left w:val="none" w:sz="0" w:space="0" w:color="auto"/>
        <w:bottom w:val="none" w:sz="0" w:space="0" w:color="auto"/>
        <w:right w:val="none" w:sz="0" w:space="0" w:color="auto"/>
      </w:divBdr>
    </w:div>
    <w:div w:id="1392733236">
      <w:bodyDiv w:val="1"/>
      <w:marLeft w:val="0"/>
      <w:marRight w:val="0"/>
      <w:marTop w:val="0"/>
      <w:marBottom w:val="0"/>
      <w:divBdr>
        <w:top w:val="none" w:sz="0" w:space="0" w:color="auto"/>
        <w:left w:val="none" w:sz="0" w:space="0" w:color="auto"/>
        <w:bottom w:val="none" w:sz="0" w:space="0" w:color="auto"/>
        <w:right w:val="none" w:sz="0" w:space="0" w:color="auto"/>
      </w:divBdr>
    </w:div>
    <w:div w:id="1399590435">
      <w:bodyDiv w:val="1"/>
      <w:marLeft w:val="0"/>
      <w:marRight w:val="0"/>
      <w:marTop w:val="0"/>
      <w:marBottom w:val="0"/>
      <w:divBdr>
        <w:top w:val="none" w:sz="0" w:space="0" w:color="auto"/>
        <w:left w:val="none" w:sz="0" w:space="0" w:color="auto"/>
        <w:bottom w:val="none" w:sz="0" w:space="0" w:color="auto"/>
        <w:right w:val="none" w:sz="0" w:space="0" w:color="auto"/>
      </w:divBdr>
    </w:div>
    <w:div w:id="1438526909">
      <w:bodyDiv w:val="1"/>
      <w:marLeft w:val="0"/>
      <w:marRight w:val="0"/>
      <w:marTop w:val="0"/>
      <w:marBottom w:val="0"/>
      <w:divBdr>
        <w:top w:val="none" w:sz="0" w:space="0" w:color="auto"/>
        <w:left w:val="none" w:sz="0" w:space="0" w:color="auto"/>
        <w:bottom w:val="none" w:sz="0" w:space="0" w:color="auto"/>
        <w:right w:val="none" w:sz="0" w:space="0" w:color="auto"/>
      </w:divBdr>
    </w:div>
    <w:div w:id="1461069126">
      <w:bodyDiv w:val="1"/>
      <w:marLeft w:val="0"/>
      <w:marRight w:val="0"/>
      <w:marTop w:val="0"/>
      <w:marBottom w:val="0"/>
      <w:divBdr>
        <w:top w:val="none" w:sz="0" w:space="0" w:color="auto"/>
        <w:left w:val="none" w:sz="0" w:space="0" w:color="auto"/>
        <w:bottom w:val="none" w:sz="0" w:space="0" w:color="auto"/>
        <w:right w:val="none" w:sz="0" w:space="0" w:color="auto"/>
      </w:divBdr>
    </w:div>
    <w:div w:id="1502622342">
      <w:bodyDiv w:val="1"/>
      <w:marLeft w:val="0"/>
      <w:marRight w:val="0"/>
      <w:marTop w:val="0"/>
      <w:marBottom w:val="0"/>
      <w:divBdr>
        <w:top w:val="none" w:sz="0" w:space="0" w:color="auto"/>
        <w:left w:val="none" w:sz="0" w:space="0" w:color="auto"/>
        <w:bottom w:val="none" w:sz="0" w:space="0" w:color="auto"/>
        <w:right w:val="none" w:sz="0" w:space="0" w:color="auto"/>
      </w:divBdr>
    </w:div>
    <w:div w:id="1505127976">
      <w:bodyDiv w:val="1"/>
      <w:marLeft w:val="0"/>
      <w:marRight w:val="0"/>
      <w:marTop w:val="0"/>
      <w:marBottom w:val="0"/>
      <w:divBdr>
        <w:top w:val="none" w:sz="0" w:space="0" w:color="auto"/>
        <w:left w:val="none" w:sz="0" w:space="0" w:color="auto"/>
        <w:bottom w:val="none" w:sz="0" w:space="0" w:color="auto"/>
        <w:right w:val="none" w:sz="0" w:space="0" w:color="auto"/>
      </w:divBdr>
    </w:div>
    <w:div w:id="1529484003">
      <w:bodyDiv w:val="1"/>
      <w:marLeft w:val="0"/>
      <w:marRight w:val="0"/>
      <w:marTop w:val="0"/>
      <w:marBottom w:val="0"/>
      <w:divBdr>
        <w:top w:val="none" w:sz="0" w:space="0" w:color="auto"/>
        <w:left w:val="none" w:sz="0" w:space="0" w:color="auto"/>
        <w:bottom w:val="none" w:sz="0" w:space="0" w:color="auto"/>
        <w:right w:val="none" w:sz="0" w:space="0" w:color="auto"/>
      </w:divBdr>
    </w:div>
    <w:div w:id="1541165245">
      <w:bodyDiv w:val="1"/>
      <w:marLeft w:val="0"/>
      <w:marRight w:val="0"/>
      <w:marTop w:val="0"/>
      <w:marBottom w:val="0"/>
      <w:divBdr>
        <w:top w:val="none" w:sz="0" w:space="0" w:color="auto"/>
        <w:left w:val="none" w:sz="0" w:space="0" w:color="auto"/>
        <w:bottom w:val="none" w:sz="0" w:space="0" w:color="auto"/>
        <w:right w:val="none" w:sz="0" w:space="0" w:color="auto"/>
      </w:divBdr>
    </w:div>
    <w:div w:id="1554733214">
      <w:bodyDiv w:val="1"/>
      <w:marLeft w:val="0"/>
      <w:marRight w:val="0"/>
      <w:marTop w:val="0"/>
      <w:marBottom w:val="0"/>
      <w:divBdr>
        <w:top w:val="none" w:sz="0" w:space="0" w:color="auto"/>
        <w:left w:val="none" w:sz="0" w:space="0" w:color="auto"/>
        <w:bottom w:val="none" w:sz="0" w:space="0" w:color="auto"/>
        <w:right w:val="none" w:sz="0" w:space="0" w:color="auto"/>
      </w:divBdr>
    </w:div>
    <w:div w:id="1600404339">
      <w:bodyDiv w:val="1"/>
      <w:marLeft w:val="0"/>
      <w:marRight w:val="0"/>
      <w:marTop w:val="0"/>
      <w:marBottom w:val="0"/>
      <w:divBdr>
        <w:top w:val="none" w:sz="0" w:space="0" w:color="auto"/>
        <w:left w:val="none" w:sz="0" w:space="0" w:color="auto"/>
        <w:bottom w:val="none" w:sz="0" w:space="0" w:color="auto"/>
        <w:right w:val="none" w:sz="0" w:space="0" w:color="auto"/>
      </w:divBdr>
    </w:div>
    <w:div w:id="1623071540">
      <w:bodyDiv w:val="1"/>
      <w:marLeft w:val="0"/>
      <w:marRight w:val="0"/>
      <w:marTop w:val="0"/>
      <w:marBottom w:val="0"/>
      <w:divBdr>
        <w:top w:val="none" w:sz="0" w:space="0" w:color="auto"/>
        <w:left w:val="none" w:sz="0" w:space="0" w:color="auto"/>
        <w:bottom w:val="none" w:sz="0" w:space="0" w:color="auto"/>
        <w:right w:val="none" w:sz="0" w:space="0" w:color="auto"/>
      </w:divBdr>
    </w:div>
    <w:div w:id="1632633592">
      <w:bodyDiv w:val="1"/>
      <w:marLeft w:val="0"/>
      <w:marRight w:val="0"/>
      <w:marTop w:val="0"/>
      <w:marBottom w:val="0"/>
      <w:divBdr>
        <w:top w:val="none" w:sz="0" w:space="0" w:color="auto"/>
        <w:left w:val="none" w:sz="0" w:space="0" w:color="auto"/>
        <w:bottom w:val="none" w:sz="0" w:space="0" w:color="auto"/>
        <w:right w:val="none" w:sz="0" w:space="0" w:color="auto"/>
      </w:divBdr>
    </w:div>
    <w:div w:id="1648975757">
      <w:bodyDiv w:val="1"/>
      <w:marLeft w:val="0"/>
      <w:marRight w:val="0"/>
      <w:marTop w:val="0"/>
      <w:marBottom w:val="0"/>
      <w:divBdr>
        <w:top w:val="none" w:sz="0" w:space="0" w:color="auto"/>
        <w:left w:val="none" w:sz="0" w:space="0" w:color="auto"/>
        <w:bottom w:val="none" w:sz="0" w:space="0" w:color="auto"/>
        <w:right w:val="none" w:sz="0" w:space="0" w:color="auto"/>
      </w:divBdr>
    </w:div>
    <w:div w:id="1654337288">
      <w:bodyDiv w:val="1"/>
      <w:marLeft w:val="0"/>
      <w:marRight w:val="0"/>
      <w:marTop w:val="0"/>
      <w:marBottom w:val="0"/>
      <w:divBdr>
        <w:top w:val="none" w:sz="0" w:space="0" w:color="auto"/>
        <w:left w:val="none" w:sz="0" w:space="0" w:color="auto"/>
        <w:bottom w:val="none" w:sz="0" w:space="0" w:color="auto"/>
        <w:right w:val="none" w:sz="0" w:space="0" w:color="auto"/>
      </w:divBdr>
    </w:div>
    <w:div w:id="1673027009">
      <w:bodyDiv w:val="1"/>
      <w:marLeft w:val="0"/>
      <w:marRight w:val="0"/>
      <w:marTop w:val="0"/>
      <w:marBottom w:val="0"/>
      <w:divBdr>
        <w:top w:val="none" w:sz="0" w:space="0" w:color="auto"/>
        <w:left w:val="none" w:sz="0" w:space="0" w:color="auto"/>
        <w:bottom w:val="none" w:sz="0" w:space="0" w:color="auto"/>
        <w:right w:val="none" w:sz="0" w:space="0" w:color="auto"/>
      </w:divBdr>
    </w:div>
    <w:div w:id="1729959802">
      <w:bodyDiv w:val="1"/>
      <w:marLeft w:val="0"/>
      <w:marRight w:val="0"/>
      <w:marTop w:val="0"/>
      <w:marBottom w:val="0"/>
      <w:divBdr>
        <w:top w:val="none" w:sz="0" w:space="0" w:color="auto"/>
        <w:left w:val="none" w:sz="0" w:space="0" w:color="auto"/>
        <w:bottom w:val="none" w:sz="0" w:space="0" w:color="auto"/>
        <w:right w:val="none" w:sz="0" w:space="0" w:color="auto"/>
      </w:divBdr>
    </w:div>
    <w:div w:id="1732727274">
      <w:bodyDiv w:val="1"/>
      <w:marLeft w:val="0"/>
      <w:marRight w:val="0"/>
      <w:marTop w:val="0"/>
      <w:marBottom w:val="0"/>
      <w:divBdr>
        <w:top w:val="none" w:sz="0" w:space="0" w:color="auto"/>
        <w:left w:val="none" w:sz="0" w:space="0" w:color="auto"/>
        <w:bottom w:val="none" w:sz="0" w:space="0" w:color="auto"/>
        <w:right w:val="none" w:sz="0" w:space="0" w:color="auto"/>
      </w:divBdr>
    </w:div>
    <w:div w:id="1816218472">
      <w:bodyDiv w:val="1"/>
      <w:marLeft w:val="0"/>
      <w:marRight w:val="0"/>
      <w:marTop w:val="0"/>
      <w:marBottom w:val="0"/>
      <w:divBdr>
        <w:top w:val="none" w:sz="0" w:space="0" w:color="auto"/>
        <w:left w:val="none" w:sz="0" w:space="0" w:color="auto"/>
        <w:bottom w:val="none" w:sz="0" w:space="0" w:color="auto"/>
        <w:right w:val="none" w:sz="0" w:space="0" w:color="auto"/>
      </w:divBdr>
    </w:div>
    <w:div w:id="1890605784">
      <w:bodyDiv w:val="1"/>
      <w:marLeft w:val="0"/>
      <w:marRight w:val="0"/>
      <w:marTop w:val="0"/>
      <w:marBottom w:val="0"/>
      <w:divBdr>
        <w:top w:val="none" w:sz="0" w:space="0" w:color="auto"/>
        <w:left w:val="none" w:sz="0" w:space="0" w:color="auto"/>
        <w:bottom w:val="none" w:sz="0" w:space="0" w:color="auto"/>
        <w:right w:val="none" w:sz="0" w:space="0" w:color="auto"/>
      </w:divBdr>
    </w:div>
    <w:div w:id="1908491530">
      <w:bodyDiv w:val="1"/>
      <w:marLeft w:val="0"/>
      <w:marRight w:val="0"/>
      <w:marTop w:val="0"/>
      <w:marBottom w:val="0"/>
      <w:divBdr>
        <w:top w:val="none" w:sz="0" w:space="0" w:color="auto"/>
        <w:left w:val="none" w:sz="0" w:space="0" w:color="auto"/>
        <w:bottom w:val="none" w:sz="0" w:space="0" w:color="auto"/>
        <w:right w:val="none" w:sz="0" w:space="0" w:color="auto"/>
      </w:divBdr>
    </w:div>
    <w:div w:id="1932467259">
      <w:bodyDiv w:val="1"/>
      <w:marLeft w:val="0"/>
      <w:marRight w:val="0"/>
      <w:marTop w:val="0"/>
      <w:marBottom w:val="0"/>
      <w:divBdr>
        <w:top w:val="none" w:sz="0" w:space="0" w:color="auto"/>
        <w:left w:val="none" w:sz="0" w:space="0" w:color="auto"/>
        <w:bottom w:val="none" w:sz="0" w:space="0" w:color="auto"/>
        <w:right w:val="none" w:sz="0" w:space="0" w:color="auto"/>
      </w:divBdr>
    </w:div>
    <w:div w:id="1977879547">
      <w:bodyDiv w:val="1"/>
      <w:marLeft w:val="0"/>
      <w:marRight w:val="0"/>
      <w:marTop w:val="0"/>
      <w:marBottom w:val="0"/>
      <w:divBdr>
        <w:top w:val="none" w:sz="0" w:space="0" w:color="auto"/>
        <w:left w:val="none" w:sz="0" w:space="0" w:color="auto"/>
        <w:bottom w:val="none" w:sz="0" w:space="0" w:color="auto"/>
        <w:right w:val="none" w:sz="0" w:space="0" w:color="auto"/>
      </w:divBdr>
      <w:divsChild>
        <w:div w:id="343289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734280">
      <w:bodyDiv w:val="1"/>
      <w:marLeft w:val="0"/>
      <w:marRight w:val="0"/>
      <w:marTop w:val="0"/>
      <w:marBottom w:val="0"/>
      <w:divBdr>
        <w:top w:val="none" w:sz="0" w:space="0" w:color="auto"/>
        <w:left w:val="none" w:sz="0" w:space="0" w:color="auto"/>
        <w:bottom w:val="none" w:sz="0" w:space="0" w:color="auto"/>
        <w:right w:val="none" w:sz="0" w:space="0" w:color="auto"/>
      </w:divBdr>
    </w:div>
    <w:div w:id="1991981280">
      <w:bodyDiv w:val="1"/>
      <w:marLeft w:val="0"/>
      <w:marRight w:val="0"/>
      <w:marTop w:val="0"/>
      <w:marBottom w:val="0"/>
      <w:divBdr>
        <w:top w:val="none" w:sz="0" w:space="0" w:color="auto"/>
        <w:left w:val="none" w:sz="0" w:space="0" w:color="auto"/>
        <w:bottom w:val="none" w:sz="0" w:space="0" w:color="auto"/>
        <w:right w:val="none" w:sz="0" w:space="0" w:color="auto"/>
      </w:divBdr>
    </w:div>
    <w:div w:id="1995405888">
      <w:bodyDiv w:val="1"/>
      <w:marLeft w:val="0"/>
      <w:marRight w:val="0"/>
      <w:marTop w:val="0"/>
      <w:marBottom w:val="0"/>
      <w:divBdr>
        <w:top w:val="none" w:sz="0" w:space="0" w:color="auto"/>
        <w:left w:val="none" w:sz="0" w:space="0" w:color="auto"/>
        <w:bottom w:val="none" w:sz="0" w:space="0" w:color="auto"/>
        <w:right w:val="none" w:sz="0" w:space="0" w:color="auto"/>
      </w:divBdr>
    </w:div>
    <w:div w:id="2014916460">
      <w:bodyDiv w:val="1"/>
      <w:marLeft w:val="0"/>
      <w:marRight w:val="0"/>
      <w:marTop w:val="0"/>
      <w:marBottom w:val="0"/>
      <w:divBdr>
        <w:top w:val="none" w:sz="0" w:space="0" w:color="auto"/>
        <w:left w:val="none" w:sz="0" w:space="0" w:color="auto"/>
        <w:bottom w:val="none" w:sz="0" w:space="0" w:color="auto"/>
        <w:right w:val="none" w:sz="0" w:space="0" w:color="auto"/>
      </w:divBdr>
    </w:div>
    <w:div w:id="2022777616">
      <w:bodyDiv w:val="1"/>
      <w:marLeft w:val="0"/>
      <w:marRight w:val="0"/>
      <w:marTop w:val="0"/>
      <w:marBottom w:val="0"/>
      <w:divBdr>
        <w:top w:val="none" w:sz="0" w:space="0" w:color="auto"/>
        <w:left w:val="none" w:sz="0" w:space="0" w:color="auto"/>
        <w:bottom w:val="none" w:sz="0" w:space="0" w:color="auto"/>
        <w:right w:val="none" w:sz="0" w:space="0" w:color="auto"/>
      </w:divBdr>
    </w:div>
    <w:div w:id="2082025772">
      <w:bodyDiv w:val="1"/>
      <w:marLeft w:val="0"/>
      <w:marRight w:val="0"/>
      <w:marTop w:val="0"/>
      <w:marBottom w:val="0"/>
      <w:divBdr>
        <w:top w:val="none" w:sz="0" w:space="0" w:color="auto"/>
        <w:left w:val="none" w:sz="0" w:space="0" w:color="auto"/>
        <w:bottom w:val="none" w:sz="0" w:space="0" w:color="auto"/>
        <w:right w:val="none" w:sz="0" w:space="0" w:color="auto"/>
      </w:divBdr>
    </w:div>
    <w:div w:id="2110422957">
      <w:bodyDiv w:val="1"/>
      <w:marLeft w:val="0"/>
      <w:marRight w:val="0"/>
      <w:marTop w:val="0"/>
      <w:marBottom w:val="0"/>
      <w:divBdr>
        <w:top w:val="none" w:sz="0" w:space="0" w:color="auto"/>
        <w:left w:val="none" w:sz="0" w:space="0" w:color="auto"/>
        <w:bottom w:val="none" w:sz="0" w:space="0" w:color="auto"/>
        <w:right w:val="none" w:sz="0" w:space="0" w:color="auto"/>
      </w:divBdr>
    </w:div>
    <w:div w:id="2122988073">
      <w:bodyDiv w:val="1"/>
      <w:marLeft w:val="0"/>
      <w:marRight w:val="0"/>
      <w:marTop w:val="0"/>
      <w:marBottom w:val="0"/>
      <w:divBdr>
        <w:top w:val="none" w:sz="0" w:space="0" w:color="auto"/>
        <w:left w:val="none" w:sz="0" w:space="0" w:color="auto"/>
        <w:bottom w:val="none" w:sz="0" w:space="0" w:color="auto"/>
        <w:right w:val="none" w:sz="0" w:space="0" w:color="auto"/>
      </w:divBdr>
    </w:div>
    <w:div w:id="2126342645">
      <w:bodyDiv w:val="1"/>
      <w:marLeft w:val="0"/>
      <w:marRight w:val="0"/>
      <w:marTop w:val="0"/>
      <w:marBottom w:val="0"/>
      <w:divBdr>
        <w:top w:val="none" w:sz="0" w:space="0" w:color="auto"/>
        <w:left w:val="none" w:sz="0" w:space="0" w:color="auto"/>
        <w:bottom w:val="none" w:sz="0" w:space="0" w:color="auto"/>
        <w:right w:val="none" w:sz="0" w:space="0" w:color="auto"/>
      </w:divBdr>
    </w:div>
    <w:div w:id="2134983427">
      <w:bodyDiv w:val="1"/>
      <w:marLeft w:val="0"/>
      <w:marRight w:val="0"/>
      <w:marTop w:val="0"/>
      <w:marBottom w:val="0"/>
      <w:divBdr>
        <w:top w:val="none" w:sz="0" w:space="0" w:color="auto"/>
        <w:left w:val="none" w:sz="0" w:space="0" w:color="auto"/>
        <w:bottom w:val="none" w:sz="0" w:space="0" w:color="auto"/>
        <w:right w:val="none" w:sz="0" w:space="0" w:color="auto"/>
      </w:divBdr>
    </w:div>
    <w:div w:id="214731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doi.org/10.1177/02676583251317909" TargetMode="External"/><Relationship Id="rId26" Type="http://schemas.openxmlformats.org/officeDocument/2006/relationships/hyperlink" Target="https://doi.org/10.4324/9781003018872-32" TargetMode="External"/><Relationship Id="rId39" Type="http://schemas.openxmlformats.org/officeDocument/2006/relationships/hyperlink" Target="https://doi.org/10.1002/tesq.3027" TargetMode="External"/><Relationship Id="rId21" Type="http://schemas.openxmlformats.org/officeDocument/2006/relationships/hyperlink" Target="https://doi.org/10.1002/9781119261650.ch12" TargetMode="External"/><Relationship Id="rId34" Type="http://schemas.openxmlformats.org/officeDocument/2006/relationships/hyperlink" Target="https://doi.org/10.14746/ssllt.2022.12.2.2" TargetMode="External"/><Relationship Id="rId42" Type="http://schemas.openxmlformats.org/officeDocument/2006/relationships/hyperlink" Target="https://doi.org/10.4324/9780203808184-29" TargetMode="External"/><Relationship Id="rId47" Type="http://schemas.openxmlformats.org/officeDocument/2006/relationships/hyperlink" Target="https://doi.org/10.1016/j.wocn.2023.101266" TargetMode="External"/><Relationship Id="rId50" Type="http://schemas.openxmlformats.org/officeDocument/2006/relationships/hyperlink" Target="https://osf.io/uvy6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arxiv.org/abs/2404.06762" TargetMode="External"/><Relationship Id="rId11" Type="http://schemas.openxmlformats.org/officeDocument/2006/relationships/image" Target="media/image2.png"/><Relationship Id="rId24" Type="http://schemas.openxmlformats.org/officeDocument/2006/relationships/hyperlink" Target="https://doi.org/10.1075/hl.5.1-2.02lav" TargetMode="External"/><Relationship Id="rId32" Type="http://schemas.openxmlformats.org/officeDocument/2006/relationships/hyperlink" Target="https://arxiv.org/abs/2411.10927" TargetMode="External"/><Relationship Id="rId37" Type="http://schemas.openxmlformats.org/officeDocument/2006/relationships/hyperlink" Target="https://doi.org/10.1007/978-3-642-20850-8_4" TargetMode="External"/><Relationship Id="rId40" Type="http://schemas.openxmlformats.org/officeDocument/2006/relationships/hyperlink" Target="https://doi.org/10.1017/s027226312300044x" TargetMode="External"/><Relationship Id="rId45" Type="http://schemas.openxmlformats.org/officeDocument/2006/relationships/hyperlink" Target="https://doi.org/10.1044/2013_JSLHR-S-12-0345"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19" Type="http://schemas.openxmlformats.org/officeDocument/2006/relationships/hyperlink" Target="https://doi.org/10.1111/lang.12159" TargetMode="External"/><Relationship Id="rId31" Type="http://schemas.openxmlformats.org/officeDocument/2006/relationships/hyperlink" Target="https://doi.org/10.1016/j.lindif.2020.101852" TargetMode="External"/><Relationship Id="rId44" Type="http://schemas.openxmlformats.org/officeDocument/2006/relationships/hyperlink" Target="https://doi.org/10.1017/S0261444816000276"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yriam.piccaluga@umons.ac.be" TargetMode="External"/><Relationship Id="rId14" Type="http://schemas.openxmlformats.org/officeDocument/2006/relationships/image" Target="media/image5.png"/><Relationship Id="rId22" Type="http://schemas.openxmlformats.org/officeDocument/2006/relationships/hyperlink" Target="https://doi.org/10.1016/j.amper.2024.100175" TargetMode="External"/><Relationship Id="rId27" Type="http://schemas.openxmlformats.org/officeDocument/2006/relationships/hyperlink" Target="https://doi.org/10.4324/9781003270546" TargetMode="External"/><Relationship Id="rId30" Type="http://schemas.openxmlformats.org/officeDocument/2006/relationships/hyperlink" Target="https://doi.org/10.1075/jslp.20038.mun" TargetMode="External"/><Relationship Id="rId35" Type="http://schemas.openxmlformats.org/officeDocument/2006/relationships/hyperlink" Target="https://doi.org/10.1006/jpho.2001.0134" TargetMode="External"/><Relationship Id="rId43" Type="http://schemas.openxmlformats.org/officeDocument/2006/relationships/hyperlink" Target="https://doi.org/10.1177/13621688231152627" TargetMode="External"/><Relationship Id="rId48" Type="http://schemas.openxmlformats.org/officeDocument/2006/relationships/hyperlink" Target="https://doi.org/10.1093/applin/amp050" TargetMode="External"/><Relationship Id="rId8" Type="http://schemas.openxmlformats.org/officeDocument/2006/relationships/hyperlink" Target="mailto:kathy.huet@umons.ac.be"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doi.org/10.29240/ef.v5i2.2704" TargetMode="External"/><Relationship Id="rId25" Type="http://schemas.openxmlformats.org/officeDocument/2006/relationships/hyperlink" Target="https://doi.org/10.3389/fcomm.2019.00018" TargetMode="External"/><Relationship Id="rId33" Type="http://schemas.openxmlformats.org/officeDocument/2006/relationships/hyperlink" Target="https://doi.org/10.4324/9781003168935" TargetMode="External"/><Relationship Id="rId38" Type="http://schemas.openxmlformats.org/officeDocument/2006/relationships/hyperlink" Target="https://doi.org/10.1111/flan.12461" TargetMode="External"/><Relationship Id="rId46" Type="http://schemas.openxmlformats.org/officeDocument/2006/relationships/hyperlink" Target="https://doi.org/10.3389/fpsyt.2024.1492701" TargetMode="External"/><Relationship Id="rId20" Type="http://schemas.openxmlformats.org/officeDocument/2006/relationships/hyperlink" Target="https://doi.org/10.1075/jsls.19004.bro" TargetMode="External"/><Relationship Id="rId41" Type="http://schemas.openxmlformats.org/officeDocument/2006/relationships/hyperlink" Target="https://doi.org/10.1075/jslp.23028.sch"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doi.org/10.1098/rstb.2007.2154" TargetMode="External"/><Relationship Id="rId28" Type="http://schemas.openxmlformats.org/officeDocument/2006/relationships/hyperlink" Target="https://doi.org/10.1017/S0267190520000136" TargetMode="External"/><Relationship Id="rId36" Type="http://schemas.openxmlformats.org/officeDocument/2006/relationships/hyperlink" Target="https://doi.org/10.1016/j.intman.2019.100729" TargetMode="External"/><Relationship Id="rId49" Type="http://schemas.openxmlformats.org/officeDocument/2006/relationships/hyperlink" Target="https://doi.org/10.3390/su1204130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87AA1-88DF-7248-9154-AAF01D011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10846</Words>
  <Characters>59654</Characters>
  <Application>Microsoft Office Word</Application>
  <DocSecurity>4</DocSecurity>
  <Lines>497</Lines>
  <Paragraphs>140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2026-10-02T11:28:00Z</dcterms:created>
  <dcterms:modified xsi:type="dcterms:W3CDTF">2026-10-02T11:28:00Z</dcterms:modified>
</cp:coreProperties>
</file>